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D4552" w14:textId="77777777" w:rsidR="004A62C1" w:rsidRDefault="00E72C8E" w:rsidP="00E72C8E">
      <w:pPr>
        <w:spacing w:after="0" w:line="276" w:lineRule="auto"/>
        <w:rPr>
          <w:rFonts w:ascii="Garamond" w:hAnsi="Garamond" w:cs="Arial"/>
          <w:b/>
          <w:bCs/>
        </w:rPr>
      </w:pPr>
      <w:r w:rsidRPr="00E72C8E">
        <w:rPr>
          <w:rFonts w:ascii="Garamond" w:hAnsi="Garamond" w:cs="Arial"/>
          <w:b/>
          <w:bCs/>
        </w:rPr>
        <w:t xml:space="preserve">MILANO | </w:t>
      </w:r>
      <w:r w:rsidR="009374B8">
        <w:rPr>
          <w:rFonts w:ascii="Garamond" w:hAnsi="Garamond" w:cs="Arial"/>
          <w:b/>
          <w:bCs/>
        </w:rPr>
        <w:t>PINACOTECA DI BRERA</w:t>
      </w:r>
    </w:p>
    <w:p w14:paraId="32DC3EBC" w14:textId="545CC48D" w:rsidR="006B0F41" w:rsidRDefault="004A62C1" w:rsidP="00E72C8E">
      <w:pPr>
        <w:spacing w:after="0" w:line="276" w:lineRule="auto"/>
        <w:rPr>
          <w:rFonts w:ascii="Garamond" w:hAnsi="Garamond" w:cs="Arial"/>
          <w:b/>
          <w:bCs/>
        </w:rPr>
      </w:pPr>
      <w:r w:rsidRPr="004A62C1">
        <w:rPr>
          <w:rFonts w:ascii="Garamond" w:hAnsi="Garamond" w:cs="Arial"/>
          <w:b/>
          <w:bCs/>
        </w:rPr>
        <w:t xml:space="preserve">BIBLIOTECA NAZIONALE BRAIDENSE </w:t>
      </w:r>
      <w:r w:rsidR="00333A31">
        <w:rPr>
          <w:rFonts w:ascii="Garamond" w:hAnsi="Garamond" w:cs="Arial"/>
          <w:b/>
          <w:bCs/>
        </w:rPr>
        <w:t>| SALA MARIA TERESA</w:t>
      </w:r>
    </w:p>
    <w:p w14:paraId="61C99672" w14:textId="7E3AF410" w:rsidR="00E72C8E" w:rsidRDefault="00DB476B" w:rsidP="00E72C8E">
      <w:pPr>
        <w:spacing w:after="0" w:line="276" w:lineRule="auto"/>
        <w:rPr>
          <w:rFonts w:ascii="Garamond" w:hAnsi="Garamond" w:cs="Arial"/>
          <w:b/>
          <w:bCs/>
        </w:rPr>
      </w:pPr>
      <w:r>
        <w:rPr>
          <w:rFonts w:ascii="Garamond" w:hAnsi="Garamond" w:cs="Arial"/>
          <w:b/>
          <w:bCs/>
        </w:rPr>
        <w:t xml:space="preserve">18 GIUGNO </w:t>
      </w:r>
      <w:r w:rsidR="006B0F41" w:rsidRPr="006B0F41">
        <w:rPr>
          <w:rFonts w:ascii="Garamond" w:hAnsi="Garamond" w:cs="Arial"/>
          <w:b/>
          <w:bCs/>
        </w:rPr>
        <w:t xml:space="preserve">– </w:t>
      </w:r>
      <w:r w:rsidR="00917C06">
        <w:rPr>
          <w:rFonts w:ascii="Garamond" w:hAnsi="Garamond" w:cs="Arial"/>
          <w:b/>
          <w:bCs/>
        </w:rPr>
        <w:t>13 SETTEMBRE</w:t>
      </w:r>
      <w:r w:rsidR="006B0F41" w:rsidRPr="006B0F41">
        <w:rPr>
          <w:rFonts w:ascii="Garamond" w:hAnsi="Garamond" w:cs="Arial"/>
          <w:b/>
          <w:bCs/>
        </w:rPr>
        <w:t xml:space="preserve"> 2026</w:t>
      </w:r>
    </w:p>
    <w:p w14:paraId="2F0CBCAB" w14:textId="77777777" w:rsidR="00C62BAC" w:rsidRPr="00E72C8E" w:rsidRDefault="00C62BAC" w:rsidP="00E72C8E">
      <w:pPr>
        <w:spacing w:after="0" w:line="276" w:lineRule="auto"/>
        <w:rPr>
          <w:rFonts w:ascii="Garamond" w:hAnsi="Garamond" w:cs="Arial"/>
          <w:b/>
          <w:bCs/>
        </w:rPr>
      </w:pPr>
    </w:p>
    <w:p w14:paraId="6489A38F" w14:textId="77777777" w:rsidR="00953FE1" w:rsidRPr="00C60D2F" w:rsidRDefault="00DB476B" w:rsidP="00E72C8E">
      <w:pPr>
        <w:spacing w:after="0" w:line="276" w:lineRule="auto"/>
        <w:rPr>
          <w:rFonts w:ascii="Garamond" w:hAnsi="Garamond" w:cs="Arial"/>
          <w:b/>
          <w:bCs/>
          <w:i/>
          <w:iCs/>
        </w:rPr>
      </w:pPr>
      <w:r w:rsidRPr="00C60D2F">
        <w:rPr>
          <w:rFonts w:ascii="Garamond" w:hAnsi="Garamond" w:cs="Arial"/>
          <w:b/>
          <w:bCs/>
          <w:i/>
          <w:iCs/>
        </w:rPr>
        <w:t>OMAN AND ITALY</w:t>
      </w:r>
      <w:r w:rsidR="00030A34" w:rsidRPr="00C60D2F">
        <w:rPr>
          <w:rFonts w:ascii="Garamond" w:hAnsi="Garamond" w:cs="Arial"/>
          <w:b/>
          <w:bCs/>
          <w:i/>
          <w:iCs/>
        </w:rPr>
        <w:t xml:space="preserve">: </w:t>
      </w:r>
    </w:p>
    <w:p w14:paraId="4892F4B4" w14:textId="1B133558" w:rsidR="00E72C8E" w:rsidRPr="00DB476B" w:rsidRDefault="00953FE1" w:rsidP="00E72C8E">
      <w:pPr>
        <w:spacing w:after="0" w:line="276" w:lineRule="auto"/>
        <w:rPr>
          <w:rFonts w:ascii="Garamond" w:hAnsi="Garamond" w:cs="Arial"/>
          <w:b/>
          <w:bCs/>
          <w:i/>
          <w:iCs/>
          <w:lang w:val="en-US"/>
        </w:rPr>
      </w:pPr>
      <w:r w:rsidRPr="00030A34">
        <w:rPr>
          <w:rFonts w:ascii="Garamond" w:hAnsi="Garamond" w:cs="Arial"/>
          <w:b/>
          <w:bCs/>
          <w:i/>
          <w:iCs/>
          <w:lang w:val="en-US"/>
        </w:rPr>
        <w:t>TWO MILLENNIA OF CROSS-CIVILISATIONAL</w:t>
      </w:r>
      <w:r w:rsidRPr="00DB476B">
        <w:rPr>
          <w:rFonts w:ascii="Garamond" w:hAnsi="Garamond" w:cs="Arial"/>
          <w:b/>
          <w:bCs/>
          <w:i/>
          <w:iCs/>
          <w:lang w:val="en-US"/>
        </w:rPr>
        <w:t xml:space="preserve"> DIALOGUE</w:t>
      </w:r>
    </w:p>
    <w:p w14:paraId="29744112" w14:textId="77777777" w:rsidR="00DB476B" w:rsidRDefault="00DB476B" w:rsidP="00E72C8E">
      <w:pPr>
        <w:spacing w:after="0" w:line="276" w:lineRule="auto"/>
        <w:rPr>
          <w:rFonts w:ascii="Garamond" w:hAnsi="Garamond" w:cs="Arial"/>
          <w:b/>
          <w:bCs/>
          <w:lang w:val="en-US"/>
        </w:rPr>
      </w:pPr>
    </w:p>
    <w:p w14:paraId="2D76CE04" w14:textId="697B9920" w:rsidR="00C60D2F" w:rsidRDefault="00C60D2F" w:rsidP="009158BA">
      <w:pPr>
        <w:spacing w:after="0" w:line="276" w:lineRule="auto"/>
        <w:jc w:val="both"/>
        <w:rPr>
          <w:rFonts w:ascii="Garamond" w:hAnsi="Garamond" w:cs="Arial"/>
          <w:b/>
          <w:bCs/>
        </w:rPr>
      </w:pPr>
      <w:r w:rsidRPr="00C60D2F">
        <w:rPr>
          <w:rFonts w:ascii="Garamond" w:hAnsi="Garamond" w:cs="Arial"/>
          <w:b/>
          <w:bCs/>
        </w:rPr>
        <w:t xml:space="preserve">L’esposizione </w:t>
      </w:r>
      <w:r>
        <w:rPr>
          <w:rFonts w:ascii="Garamond" w:hAnsi="Garamond" w:cs="Arial"/>
          <w:b/>
          <w:bCs/>
        </w:rPr>
        <w:t>racconta</w:t>
      </w:r>
      <w:r w:rsidRPr="00C60D2F">
        <w:rPr>
          <w:rFonts w:ascii="Garamond" w:hAnsi="Garamond" w:cs="Arial"/>
          <w:b/>
          <w:bCs/>
        </w:rPr>
        <w:t>, attraverso</w:t>
      </w:r>
      <w:r>
        <w:rPr>
          <w:rFonts w:ascii="Garamond" w:hAnsi="Garamond" w:cs="Arial"/>
        </w:rPr>
        <w:t xml:space="preserve"> </w:t>
      </w:r>
      <w:r w:rsidRPr="00C60D2F">
        <w:rPr>
          <w:rFonts w:ascii="Garamond" w:hAnsi="Garamond" w:cs="Arial"/>
          <w:b/>
          <w:bCs/>
        </w:rPr>
        <w:t xml:space="preserve">una selezione di </w:t>
      </w:r>
      <w:r w:rsidR="004A62C1">
        <w:rPr>
          <w:rFonts w:ascii="Garamond" w:hAnsi="Garamond" w:cs="Arial"/>
          <w:b/>
          <w:bCs/>
        </w:rPr>
        <w:t xml:space="preserve">59 </w:t>
      </w:r>
      <w:r w:rsidRPr="00C60D2F">
        <w:rPr>
          <w:rFonts w:ascii="Garamond" w:hAnsi="Garamond" w:cs="Arial"/>
          <w:b/>
          <w:bCs/>
        </w:rPr>
        <w:t>opere, manufatti, manoscritti, mappe e testimonianze storiche che spaziano dall’Età del Ferro alla contemporaneità</w:t>
      </w:r>
      <w:r>
        <w:rPr>
          <w:rFonts w:ascii="Garamond" w:hAnsi="Garamond" w:cs="Arial"/>
          <w:b/>
          <w:bCs/>
        </w:rPr>
        <w:t xml:space="preserve">, </w:t>
      </w:r>
      <w:r w:rsidRPr="00C60D2F">
        <w:rPr>
          <w:rFonts w:ascii="Garamond" w:hAnsi="Garamond" w:cs="Arial"/>
          <w:b/>
          <w:bCs/>
        </w:rPr>
        <w:t>la storia di scambi e relazioni che per oltre due millenni ha collegato il Sultanato dell’Oman al Mediterraneo, all’Italia e alle grandi reti culturali e commerciali del mondo antico e moderno.</w:t>
      </w:r>
    </w:p>
    <w:p w14:paraId="3CC90DEA" w14:textId="77777777" w:rsidR="00C60D2F" w:rsidRDefault="00C60D2F" w:rsidP="00E72C8E">
      <w:pPr>
        <w:spacing w:after="0" w:line="276" w:lineRule="auto"/>
        <w:rPr>
          <w:rFonts w:ascii="Garamond" w:hAnsi="Garamond" w:cs="Arial"/>
          <w:b/>
          <w:bCs/>
        </w:rPr>
      </w:pPr>
    </w:p>
    <w:p w14:paraId="1BF01561" w14:textId="2F129302" w:rsidR="00DB476B" w:rsidRPr="00C60D2F" w:rsidRDefault="00C60D2F" w:rsidP="00E72C8E">
      <w:pPr>
        <w:spacing w:after="0" w:line="276" w:lineRule="auto"/>
        <w:rPr>
          <w:rFonts w:ascii="Garamond" w:hAnsi="Garamond" w:cs="Arial"/>
          <w:b/>
          <w:bCs/>
        </w:rPr>
      </w:pPr>
      <w:r>
        <w:rPr>
          <w:rFonts w:ascii="Garamond" w:hAnsi="Garamond" w:cs="Arial"/>
          <w:b/>
          <w:bCs/>
        </w:rPr>
        <w:t xml:space="preserve">A cura </w:t>
      </w:r>
      <w:r w:rsidR="004A62C1">
        <w:rPr>
          <w:rFonts w:ascii="Garamond" w:hAnsi="Garamond" w:cs="Arial"/>
          <w:b/>
          <w:bCs/>
        </w:rPr>
        <w:t>di</w:t>
      </w:r>
      <w:r w:rsidR="004A62C1" w:rsidRPr="004A62C1">
        <w:rPr>
          <w:rFonts w:ascii="Garamond" w:hAnsi="Garamond" w:cs="Arial"/>
          <w:b/>
          <w:bCs/>
        </w:rPr>
        <w:t xml:space="preserve"> S</w:t>
      </w:r>
      <w:r w:rsidR="004A62C1">
        <w:rPr>
          <w:rFonts w:ascii="Garamond" w:hAnsi="Garamond" w:cs="Arial"/>
          <w:b/>
          <w:bCs/>
        </w:rPr>
        <w:t>.</w:t>
      </w:r>
      <w:r w:rsidR="004A62C1" w:rsidRPr="004A62C1">
        <w:rPr>
          <w:rFonts w:ascii="Garamond" w:hAnsi="Garamond" w:cs="Arial"/>
          <w:b/>
          <w:bCs/>
        </w:rPr>
        <w:t xml:space="preserve"> E</w:t>
      </w:r>
      <w:r w:rsidR="004A62C1">
        <w:rPr>
          <w:rFonts w:ascii="Garamond" w:hAnsi="Garamond" w:cs="Arial"/>
          <w:b/>
          <w:bCs/>
        </w:rPr>
        <w:t>.</w:t>
      </w:r>
      <w:r w:rsidR="004A62C1" w:rsidRPr="004A62C1">
        <w:rPr>
          <w:rFonts w:ascii="Garamond" w:hAnsi="Garamond" w:cs="Arial"/>
          <w:b/>
          <w:bCs/>
        </w:rPr>
        <w:t xml:space="preserve"> Jamal Hassan Al-</w:t>
      </w:r>
      <w:proofErr w:type="spellStart"/>
      <w:r w:rsidR="004A62C1" w:rsidRPr="004A62C1">
        <w:rPr>
          <w:rFonts w:ascii="Garamond" w:hAnsi="Garamond" w:cs="Arial"/>
          <w:b/>
          <w:bCs/>
        </w:rPr>
        <w:t>Moosawi</w:t>
      </w:r>
      <w:proofErr w:type="spellEnd"/>
      <w:r w:rsidR="004A62C1" w:rsidRPr="004A62C1">
        <w:rPr>
          <w:rFonts w:ascii="Garamond" w:hAnsi="Garamond" w:cs="Arial"/>
          <w:b/>
          <w:bCs/>
        </w:rPr>
        <w:t>, Segretario Generale del National Museum of Oman</w:t>
      </w:r>
    </w:p>
    <w:p w14:paraId="7848C11E" w14:textId="77777777" w:rsidR="004A62C1" w:rsidRPr="00C60D2F" w:rsidRDefault="004A62C1" w:rsidP="00E72C8E">
      <w:pPr>
        <w:spacing w:after="0" w:line="276" w:lineRule="auto"/>
        <w:rPr>
          <w:rFonts w:ascii="Garamond" w:hAnsi="Garamond" w:cs="Arial"/>
        </w:rPr>
      </w:pPr>
    </w:p>
    <w:p w14:paraId="12CCE98D" w14:textId="6C9E5976" w:rsidR="00DB476B" w:rsidRDefault="00E72C8E" w:rsidP="0061600B">
      <w:pPr>
        <w:spacing w:after="0" w:line="276" w:lineRule="auto"/>
        <w:jc w:val="both"/>
        <w:rPr>
          <w:rFonts w:ascii="Garamond" w:hAnsi="Garamond" w:cs="Arial"/>
        </w:rPr>
      </w:pPr>
      <w:r w:rsidRPr="00E72C8E">
        <w:rPr>
          <w:rFonts w:ascii="Garamond" w:hAnsi="Garamond" w:cs="Arial"/>
          <w:b/>
          <w:bCs/>
        </w:rPr>
        <w:t xml:space="preserve">Dal </w:t>
      </w:r>
      <w:r w:rsidR="00DB476B">
        <w:rPr>
          <w:rFonts w:ascii="Garamond" w:hAnsi="Garamond" w:cs="Arial"/>
          <w:b/>
          <w:bCs/>
        </w:rPr>
        <w:t>18 giugno</w:t>
      </w:r>
      <w:r w:rsidR="00C62BAC">
        <w:rPr>
          <w:rFonts w:ascii="Garamond" w:hAnsi="Garamond" w:cs="Arial"/>
          <w:b/>
          <w:bCs/>
        </w:rPr>
        <w:t xml:space="preserve"> al </w:t>
      </w:r>
      <w:r w:rsidR="00917C06">
        <w:rPr>
          <w:rFonts w:ascii="Garamond" w:hAnsi="Garamond" w:cs="Arial"/>
          <w:b/>
          <w:bCs/>
        </w:rPr>
        <w:t>13 settembre</w:t>
      </w:r>
      <w:r w:rsidRPr="00E72C8E">
        <w:rPr>
          <w:rFonts w:ascii="Garamond" w:hAnsi="Garamond" w:cs="Arial"/>
          <w:b/>
          <w:bCs/>
        </w:rPr>
        <w:t xml:space="preserve"> 202</w:t>
      </w:r>
      <w:r w:rsidR="00C62BAC">
        <w:rPr>
          <w:rFonts w:ascii="Garamond" w:hAnsi="Garamond" w:cs="Arial"/>
          <w:b/>
          <w:bCs/>
        </w:rPr>
        <w:t>6</w:t>
      </w:r>
      <w:r w:rsidRPr="00E72C8E">
        <w:rPr>
          <w:rFonts w:ascii="Garamond" w:hAnsi="Garamond" w:cs="Arial"/>
          <w:b/>
          <w:bCs/>
        </w:rPr>
        <w:t xml:space="preserve">, </w:t>
      </w:r>
      <w:r w:rsidR="00C62BAC">
        <w:rPr>
          <w:rFonts w:ascii="Garamond" w:hAnsi="Garamond" w:cs="Arial"/>
          <w:b/>
          <w:bCs/>
        </w:rPr>
        <w:t xml:space="preserve">la </w:t>
      </w:r>
      <w:r w:rsidR="00DB476B">
        <w:rPr>
          <w:rFonts w:ascii="Garamond" w:hAnsi="Garamond" w:cs="Arial"/>
          <w:b/>
          <w:bCs/>
        </w:rPr>
        <w:t xml:space="preserve">Sala Maria Teresa della </w:t>
      </w:r>
      <w:r w:rsidR="000E7F0F">
        <w:rPr>
          <w:rFonts w:ascii="Garamond" w:hAnsi="Garamond" w:cs="Arial"/>
          <w:b/>
          <w:bCs/>
        </w:rPr>
        <w:t>Biblioteca Nazionale Braidense</w:t>
      </w:r>
      <w:r w:rsidR="00C62BAC">
        <w:rPr>
          <w:rFonts w:ascii="Garamond" w:hAnsi="Garamond" w:cs="Arial"/>
          <w:b/>
          <w:bCs/>
        </w:rPr>
        <w:t xml:space="preserve"> a Milano</w:t>
      </w:r>
      <w:r w:rsidR="0061600B">
        <w:rPr>
          <w:rFonts w:ascii="Garamond" w:hAnsi="Garamond" w:cs="Arial"/>
          <w:b/>
          <w:bCs/>
        </w:rPr>
        <w:t xml:space="preserve"> </w:t>
      </w:r>
      <w:r w:rsidR="0061600B" w:rsidRPr="0061600B">
        <w:rPr>
          <w:rFonts w:ascii="Garamond" w:hAnsi="Garamond" w:cs="Arial"/>
          <w:b/>
          <w:bCs/>
        </w:rPr>
        <w:t xml:space="preserve">ospita </w:t>
      </w:r>
      <w:r w:rsidR="00DB476B" w:rsidRPr="00DB476B">
        <w:rPr>
          <w:rFonts w:ascii="Garamond" w:hAnsi="Garamond" w:cs="Arial"/>
          <w:b/>
          <w:bCs/>
        </w:rPr>
        <w:t xml:space="preserve">la mostra </w:t>
      </w:r>
      <w:r w:rsidR="00DB476B" w:rsidRPr="00DB476B">
        <w:rPr>
          <w:rFonts w:ascii="Garamond" w:hAnsi="Garamond" w:cs="Arial"/>
          <w:b/>
          <w:bCs/>
          <w:i/>
          <w:iCs/>
        </w:rPr>
        <w:t xml:space="preserve">Oman and </w:t>
      </w:r>
      <w:proofErr w:type="spellStart"/>
      <w:r w:rsidR="00DB476B" w:rsidRPr="00DB476B">
        <w:rPr>
          <w:rFonts w:ascii="Garamond" w:hAnsi="Garamond" w:cs="Arial"/>
          <w:b/>
          <w:bCs/>
          <w:i/>
          <w:iCs/>
        </w:rPr>
        <w:t>Italy</w:t>
      </w:r>
      <w:proofErr w:type="spellEnd"/>
      <w:r w:rsidR="00DB476B" w:rsidRPr="00DB476B">
        <w:rPr>
          <w:rFonts w:ascii="Garamond" w:hAnsi="Garamond" w:cs="Arial"/>
          <w:b/>
          <w:bCs/>
          <w:i/>
          <w:iCs/>
        </w:rPr>
        <w:t xml:space="preserve">: Two </w:t>
      </w:r>
      <w:proofErr w:type="spellStart"/>
      <w:r w:rsidR="00DB476B" w:rsidRPr="00DB476B">
        <w:rPr>
          <w:rFonts w:ascii="Garamond" w:hAnsi="Garamond" w:cs="Arial"/>
          <w:b/>
          <w:bCs/>
          <w:i/>
          <w:iCs/>
        </w:rPr>
        <w:t>Millennia</w:t>
      </w:r>
      <w:proofErr w:type="spellEnd"/>
      <w:r w:rsidR="00DB476B" w:rsidRPr="00DB476B">
        <w:rPr>
          <w:rFonts w:ascii="Garamond" w:hAnsi="Garamond" w:cs="Arial"/>
          <w:b/>
          <w:bCs/>
          <w:i/>
          <w:iCs/>
        </w:rPr>
        <w:t xml:space="preserve"> of Cross-</w:t>
      </w:r>
      <w:proofErr w:type="spellStart"/>
      <w:r w:rsidR="00DB476B" w:rsidRPr="00DB476B">
        <w:rPr>
          <w:rFonts w:ascii="Garamond" w:hAnsi="Garamond" w:cs="Arial"/>
          <w:b/>
          <w:bCs/>
          <w:i/>
          <w:iCs/>
        </w:rPr>
        <w:t>Civilisational</w:t>
      </w:r>
      <w:proofErr w:type="spellEnd"/>
      <w:r w:rsidR="00DB476B" w:rsidRPr="00DB476B">
        <w:rPr>
          <w:rFonts w:ascii="Garamond" w:hAnsi="Garamond" w:cs="Arial"/>
          <w:b/>
          <w:bCs/>
          <w:i/>
          <w:iCs/>
        </w:rPr>
        <w:t xml:space="preserve"> </w:t>
      </w:r>
      <w:proofErr w:type="spellStart"/>
      <w:r w:rsidR="00DB476B" w:rsidRPr="00DB476B">
        <w:rPr>
          <w:rFonts w:ascii="Garamond" w:hAnsi="Garamond" w:cs="Arial"/>
          <w:b/>
          <w:bCs/>
          <w:i/>
          <w:iCs/>
        </w:rPr>
        <w:t>Dialogue</w:t>
      </w:r>
      <w:proofErr w:type="spellEnd"/>
      <w:r w:rsidR="00DB476B">
        <w:rPr>
          <w:rFonts w:ascii="Garamond" w:hAnsi="Garamond" w:cs="Arial"/>
        </w:rPr>
        <w:t xml:space="preserve">, un importante </w:t>
      </w:r>
      <w:r w:rsidR="00DB476B" w:rsidRPr="00DB476B">
        <w:rPr>
          <w:rFonts w:ascii="Garamond" w:hAnsi="Garamond" w:cs="Arial"/>
        </w:rPr>
        <w:t>progetto di cooperazione culturale internazionale</w:t>
      </w:r>
      <w:r w:rsidR="00DB476B">
        <w:rPr>
          <w:rFonts w:ascii="Garamond" w:hAnsi="Garamond" w:cs="Arial"/>
        </w:rPr>
        <w:t xml:space="preserve"> che racconta la </w:t>
      </w:r>
      <w:r w:rsidR="00DB476B" w:rsidRPr="00DB476B">
        <w:rPr>
          <w:rFonts w:ascii="Garamond" w:hAnsi="Garamond" w:cs="Arial"/>
        </w:rPr>
        <w:t>storia di scambi e relazioni che per oltre due millenni ha collegato il Sultanato dell’Oman al Mediterraneo, all’Italia e alle grandi reti culturali e commerciali del mondo antico e moderno.</w:t>
      </w:r>
    </w:p>
    <w:p w14:paraId="2D8D1D76" w14:textId="77777777" w:rsidR="00C1447A" w:rsidRDefault="00C1447A" w:rsidP="0061600B">
      <w:pPr>
        <w:spacing w:after="0" w:line="276" w:lineRule="auto"/>
        <w:jc w:val="both"/>
        <w:rPr>
          <w:rFonts w:ascii="Garamond" w:hAnsi="Garamond" w:cs="Arial"/>
        </w:rPr>
      </w:pPr>
    </w:p>
    <w:p w14:paraId="38D8D728" w14:textId="1E4CB349" w:rsidR="00DB476B" w:rsidRDefault="00DB476B" w:rsidP="0061600B">
      <w:pPr>
        <w:spacing w:after="0" w:line="276" w:lineRule="auto"/>
        <w:jc w:val="both"/>
        <w:rPr>
          <w:rFonts w:ascii="Garamond" w:hAnsi="Garamond" w:cs="Arial"/>
        </w:rPr>
      </w:pPr>
      <w:r>
        <w:rPr>
          <w:rFonts w:ascii="Garamond" w:hAnsi="Garamond" w:cs="Arial"/>
        </w:rPr>
        <w:t xml:space="preserve">L’esposizione, promossa dalla Pinacoteca di Brera </w:t>
      </w:r>
      <w:r w:rsidRPr="00DB476B">
        <w:rPr>
          <w:rFonts w:ascii="Garamond" w:hAnsi="Garamond" w:cs="Arial"/>
        </w:rPr>
        <w:t>e dal National Museum of Oman</w:t>
      </w:r>
      <w:r>
        <w:rPr>
          <w:rFonts w:ascii="Garamond" w:hAnsi="Garamond" w:cs="Arial"/>
        </w:rPr>
        <w:t xml:space="preserve"> </w:t>
      </w:r>
      <w:r w:rsidR="00C1447A">
        <w:rPr>
          <w:rFonts w:ascii="Garamond" w:hAnsi="Garamond" w:cs="Arial"/>
        </w:rPr>
        <w:t xml:space="preserve">di Muscat, </w:t>
      </w:r>
      <w:r w:rsidR="00C60D2F">
        <w:rPr>
          <w:rFonts w:ascii="Garamond" w:hAnsi="Garamond" w:cs="Arial"/>
        </w:rPr>
        <w:t xml:space="preserve">curata da </w:t>
      </w:r>
      <w:r w:rsidR="004A62C1" w:rsidRPr="004A62C1">
        <w:rPr>
          <w:rFonts w:ascii="Garamond" w:hAnsi="Garamond" w:cs="Arial"/>
        </w:rPr>
        <w:t>Sua Eccellenza Jamal Hassan Al-</w:t>
      </w:r>
      <w:proofErr w:type="spellStart"/>
      <w:r w:rsidR="004A62C1" w:rsidRPr="004A62C1">
        <w:rPr>
          <w:rFonts w:ascii="Garamond" w:hAnsi="Garamond" w:cs="Arial"/>
        </w:rPr>
        <w:t>Moosawi</w:t>
      </w:r>
      <w:proofErr w:type="spellEnd"/>
      <w:r w:rsidR="004A62C1" w:rsidRPr="004A62C1">
        <w:rPr>
          <w:rFonts w:ascii="Garamond" w:hAnsi="Garamond" w:cs="Arial"/>
        </w:rPr>
        <w:t>, Segretario Generale del National Museum of Oman</w:t>
      </w:r>
      <w:r w:rsidR="00C60D2F">
        <w:rPr>
          <w:rFonts w:ascii="Garamond" w:hAnsi="Garamond" w:cs="Arial"/>
        </w:rPr>
        <w:t xml:space="preserve">, </w:t>
      </w:r>
      <w:r w:rsidR="00C60D2F" w:rsidRPr="00C60D2F">
        <w:rPr>
          <w:rFonts w:ascii="Garamond" w:hAnsi="Garamond" w:cs="Arial"/>
          <w:b/>
          <w:bCs/>
        </w:rPr>
        <w:t xml:space="preserve">documenta, </w:t>
      </w:r>
      <w:r w:rsidR="00C1447A" w:rsidRPr="00C60D2F">
        <w:rPr>
          <w:rFonts w:ascii="Garamond" w:hAnsi="Garamond" w:cs="Arial"/>
          <w:b/>
          <w:bCs/>
        </w:rPr>
        <w:t>attraverso</w:t>
      </w:r>
      <w:r w:rsidR="00C1447A">
        <w:rPr>
          <w:rFonts w:ascii="Garamond" w:hAnsi="Garamond" w:cs="Arial"/>
        </w:rPr>
        <w:t xml:space="preserve"> </w:t>
      </w:r>
      <w:r w:rsidR="00C1447A" w:rsidRPr="00C60D2F">
        <w:rPr>
          <w:rFonts w:ascii="Garamond" w:hAnsi="Garamond" w:cs="Arial"/>
          <w:b/>
          <w:bCs/>
        </w:rPr>
        <w:t xml:space="preserve">una selezione di </w:t>
      </w:r>
      <w:r w:rsidR="004A62C1">
        <w:rPr>
          <w:rFonts w:ascii="Garamond" w:hAnsi="Garamond" w:cs="Arial"/>
          <w:b/>
          <w:bCs/>
        </w:rPr>
        <w:t xml:space="preserve">59 </w:t>
      </w:r>
      <w:r w:rsidR="00C1447A" w:rsidRPr="00C60D2F">
        <w:rPr>
          <w:rFonts w:ascii="Garamond" w:hAnsi="Garamond" w:cs="Arial"/>
          <w:b/>
          <w:bCs/>
        </w:rPr>
        <w:t xml:space="preserve">opere, manufatti, manoscritti, mappe e testimonianze storiche che spaziano dall’Età del Ferro alla contemporaneità, l’identità culturale dell’Oman e il ruolo che il Sultanato ha svolto nel mettere in </w:t>
      </w:r>
      <w:r w:rsidR="00953FE1" w:rsidRPr="00C60D2F">
        <w:rPr>
          <w:rFonts w:ascii="Garamond" w:hAnsi="Garamond" w:cs="Arial"/>
          <w:b/>
          <w:bCs/>
        </w:rPr>
        <w:t>contatto</w:t>
      </w:r>
      <w:r w:rsidR="00C1447A" w:rsidRPr="00C60D2F">
        <w:rPr>
          <w:rFonts w:ascii="Garamond" w:hAnsi="Garamond" w:cs="Arial"/>
          <w:b/>
          <w:bCs/>
        </w:rPr>
        <w:t xml:space="preserve"> mondi diversi</w:t>
      </w:r>
      <w:r w:rsidR="00C1447A" w:rsidRPr="00C1447A">
        <w:rPr>
          <w:rFonts w:ascii="Garamond" w:hAnsi="Garamond" w:cs="Arial"/>
        </w:rPr>
        <w:t>. Situato all’estremità sud-orientale della Penisola Arabica</w:t>
      </w:r>
      <w:r w:rsidR="00953FE1">
        <w:rPr>
          <w:rFonts w:ascii="Garamond" w:hAnsi="Garamond" w:cs="Arial"/>
        </w:rPr>
        <w:t>, a</w:t>
      </w:r>
      <w:r w:rsidR="00C1447A" w:rsidRPr="00C1447A">
        <w:rPr>
          <w:rFonts w:ascii="Garamond" w:hAnsi="Garamond" w:cs="Arial"/>
        </w:rPr>
        <w:t>ffacciato sulle rotte che collegano il Golfo, l’Oceano Indiano e l’Africa orientale, l’Oman ha</w:t>
      </w:r>
      <w:r w:rsidR="00C1447A">
        <w:rPr>
          <w:rFonts w:ascii="Garamond" w:hAnsi="Garamond" w:cs="Arial"/>
        </w:rPr>
        <w:t xml:space="preserve">, infatti, </w:t>
      </w:r>
      <w:r w:rsidR="00C1447A" w:rsidRPr="00C1447A">
        <w:rPr>
          <w:rFonts w:ascii="Garamond" w:hAnsi="Garamond" w:cs="Arial"/>
        </w:rPr>
        <w:t xml:space="preserve">rappresentato per secoli uno </w:t>
      </w:r>
      <w:r w:rsidR="00953FE1">
        <w:rPr>
          <w:rFonts w:ascii="Garamond" w:hAnsi="Garamond" w:cs="Arial"/>
        </w:rPr>
        <w:t>luogo</w:t>
      </w:r>
      <w:r w:rsidR="00C1447A" w:rsidRPr="00C1447A">
        <w:rPr>
          <w:rFonts w:ascii="Garamond" w:hAnsi="Garamond" w:cs="Arial"/>
        </w:rPr>
        <w:t xml:space="preserve"> di </w:t>
      </w:r>
      <w:r w:rsidR="00953FE1">
        <w:rPr>
          <w:rFonts w:ascii="Garamond" w:hAnsi="Garamond" w:cs="Arial"/>
        </w:rPr>
        <w:t>dialogo</w:t>
      </w:r>
      <w:r w:rsidR="00C1447A" w:rsidRPr="00C1447A">
        <w:rPr>
          <w:rFonts w:ascii="Garamond" w:hAnsi="Garamond" w:cs="Arial"/>
        </w:rPr>
        <w:t xml:space="preserve"> tra culture e tradizioni differenti, contribuendo alla circolazione di merci, persone, conoscenze e idee.</w:t>
      </w:r>
    </w:p>
    <w:p w14:paraId="37DFDD95" w14:textId="77777777" w:rsidR="00AE6CC0" w:rsidRPr="00DB476B" w:rsidRDefault="00AE6CC0" w:rsidP="0061600B">
      <w:pPr>
        <w:spacing w:after="0" w:line="276" w:lineRule="auto"/>
        <w:jc w:val="both"/>
        <w:rPr>
          <w:rFonts w:ascii="Garamond" w:hAnsi="Garamond" w:cs="Arial"/>
        </w:rPr>
      </w:pPr>
    </w:p>
    <w:p w14:paraId="600937CC" w14:textId="291D5DF3" w:rsidR="00C1447A" w:rsidRPr="00DB476B" w:rsidRDefault="00953FE1" w:rsidP="0061600B">
      <w:pPr>
        <w:spacing w:after="0" w:line="276" w:lineRule="auto"/>
        <w:jc w:val="both"/>
        <w:rPr>
          <w:rFonts w:ascii="Garamond" w:hAnsi="Garamond" w:cs="Arial"/>
        </w:rPr>
      </w:pPr>
      <w:r>
        <w:rPr>
          <w:rFonts w:ascii="Garamond" w:hAnsi="Garamond" w:cs="Arial"/>
        </w:rPr>
        <w:t>La rassegna pone p</w:t>
      </w:r>
      <w:r w:rsidR="00C1447A" w:rsidRPr="00C1447A">
        <w:rPr>
          <w:rFonts w:ascii="Garamond" w:hAnsi="Garamond" w:cs="Arial"/>
        </w:rPr>
        <w:t xml:space="preserve">articolare attenzione alle connessioni che nel corso dei secoli hanno legato l’Oman all’Italia e al più ampio contesto mediterraneo. Il percorso </w:t>
      </w:r>
      <w:r>
        <w:rPr>
          <w:rFonts w:ascii="Garamond" w:hAnsi="Garamond" w:cs="Arial"/>
        </w:rPr>
        <w:t xml:space="preserve">allestito nella Sala Maria Teresa della </w:t>
      </w:r>
      <w:r w:rsidR="000E7F0F" w:rsidRPr="000E7F0F">
        <w:rPr>
          <w:rFonts w:ascii="Garamond" w:hAnsi="Garamond" w:cs="Arial"/>
        </w:rPr>
        <w:t xml:space="preserve">Biblioteca Nazionale Braidense </w:t>
      </w:r>
      <w:r w:rsidR="00C1447A" w:rsidRPr="00C1447A">
        <w:rPr>
          <w:rFonts w:ascii="Garamond" w:hAnsi="Garamond" w:cs="Arial"/>
        </w:rPr>
        <w:t xml:space="preserve">mette in luce come il Sultanato </w:t>
      </w:r>
      <w:r>
        <w:rPr>
          <w:rFonts w:ascii="Garamond" w:hAnsi="Garamond" w:cs="Arial"/>
        </w:rPr>
        <w:t xml:space="preserve">interagisse profondamente con </w:t>
      </w:r>
      <w:r w:rsidR="00C1447A" w:rsidRPr="00C1447A">
        <w:rPr>
          <w:rFonts w:ascii="Garamond" w:hAnsi="Garamond" w:cs="Arial"/>
        </w:rPr>
        <w:t xml:space="preserve">le principali realtà culturali e commerciali europee. </w:t>
      </w:r>
      <w:r>
        <w:rPr>
          <w:rFonts w:ascii="Garamond" w:hAnsi="Garamond" w:cs="Arial"/>
        </w:rPr>
        <w:t>L</w:t>
      </w:r>
      <w:r w:rsidR="00C1447A" w:rsidRPr="00C1447A">
        <w:rPr>
          <w:rFonts w:ascii="Garamond" w:hAnsi="Garamond" w:cs="Arial"/>
        </w:rPr>
        <w:t>e testimonianze di mercanti, viaggiatori e cartografi veneziani contribuirono a diffondere in Europa la conoscenza dei porti omaniti e delle rotte dell’Oceano Indiano; mentre i racconti provenienti dagli ambienti degli Stati Pontifici offrirono al pubblico europeo alcune delle prime descrizioni di Muscat e della Penisola Arabica.</w:t>
      </w:r>
    </w:p>
    <w:p w14:paraId="79B4360A" w14:textId="77777777" w:rsidR="00DB476B" w:rsidRDefault="00DB476B" w:rsidP="0061600B">
      <w:pPr>
        <w:spacing w:after="0" w:line="276" w:lineRule="auto"/>
        <w:jc w:val="both"/>
        <w:rPr>
          <w:rFonts w:ascii="Garamond" w:hAnsi="Garamond" w:cs="Arial"/>
        </w:rPr>
      </w:pPr>
    </w:p>
    <w:p w14:paraId="3DE87500" w14:textId="389FE2C1" w:rsidR="00C1447A" w:rsidRDefault="00C1447A" w:rsidP="00C1447A">
      <w:pPr>
        <w:spacing w:after="0" w:line="276" w:lineRule="auto"/>
        <w:jc w:val="both"/>
        <w:rPr>
          <w:rFonts w:ascii="Garamond" w:hAnsi="Garamond" w:cs="Arial"/>
        </w:rPr>
      </w:pPr>
      <w:r w:rsidRPr="00C1447A">
        <w:rPr>
          <w:rFonts w:ascii="Garamond" w:hAnsi="Garamond" w:cs="Arial"/>
        </w:rPr>
        <w:t xml:space="preserve">La mostra evidenzia come </w:t>
      </w:r>
      <w:r w:rsidR="00953FE1">
        <w:rPr>
          <w:rFonts w:ascii="Garamond" w:hAnsi="Garamond" w:cs="Arial"/>
        </w:rPr>
        <w:t>i contatti</w:t>
      </w:r>
      <w:r w:rsidRPr="00C1447A">
        <w:rPr>
          <w:rFonts w:ascii="Garamond" w:hAnsi="Garamond" w:cs="Arial"/>
        </w:rPr>
        <w:t xml:space="preserve"> tra Oman e Italia non si siano sviluppat</w:t>
      </w:r>
      <w:r w:rsidR="00953FE1">
        <w:rPr>
          <w:rFonts w:ascii="Garamond" w:hAnsi="Garamond" w:cs="Arial"/>
        </w:rPr>
        <w:t>i</w:t>
      </w:r>
      <w:r w:rsidRPr="00C1447A">
        <w:rPr>
          <w:rFonts w:ascii="Garamond" w:hAnsi="Garamond" w:cs="Arial"/>
        </w:rPr>
        <w:t xml:space="preserve"> soltanto attraverso i commerci e i viaggi, ma anche attraverso la circolazione di saperi. Ne è un esempio il sistema degli </w:t>
      </w:r>
      <w:proofErr w:type="spellStart"/>
      <w:r w:rsidRPr="00953FE1">
        <w:rPr>
          <w:rFonts w:ascii="Garamond" w:hAnsi="Garamond" w:cs="Arial"/>
          <w:i/>
          <w:iCs/>
        </w:rPr>
        <w:t>Aflaj</w:t>
      </w:r>
      <w:proofErr w:type="spellEnd"/>
      <w:r w:rsidRPr="00C1447A">
        <w:rPr>
          <w:rFonts w:ascii="Garamond" w:hAnsi="Garamond" w:cs="Arial"/>
        </w:rPr>
        <w:t xml:space="preserve">, l'antica rete di canali che per secoli ha consentito la gestione e la distribuzione dell'acqua nelle comunità omanite, la cui logica presenta significative affinità con le </w:t>
      </w:r>
      <w:proofErr w:type="spellStart"/>
      <w:r w:rsidRPr="00953FE1">
        <w:rPr>
          <w:rFonts w:ascii="Garamond" w:hAnsi="Garamond" w:cs="Arial"/>
          <w:i/>
          <w:iCs/>
        </w:rPr>
        <w:t>Qanat</w:t>
      </w:r>
      <w:proofErr w:type="spellEnd"/>
      <w:r w:rsidRPr="00C1447A">
        <w:rPr>
          <w:rFonts w:ascii="Garamond" w:hAnsi="Garamond" w:cs="Arial"/>
        </w:rPr>
        <w:t xml:space="preserve"> sviluppate in Sicilia durante la dominazione araba. </w:t>
      </w:r>
    </w:p>
    <w:p w14:paraId="3F283FE7" w14:textId="77777777" w:rsidR="00C1447A" w:rsidRPr="00C1447A" w:rsidRDefault="00C1447A" w:rsidP="00C1447A">
      <w:pPr>
        <w:spacing w:after="0" w:line="276" w:lineRule="auto"/>
        <w:jc w:val="both"/>
        <w:rPr>
          <w:rFonts w:ascii="Garamond" w:hAnsi="Garamond" w:cs="Arial"/>
        </w:rPr>
      </w:pPr>
    </w:p>
    <w:p w14:paraId="5C1CC073" w14:textId="7495DC0A" w:rsidR="00C1447A" w:rsidRDefault="00C1447A" w:rsidP="00C1447A">
      <w:pPr>
        <w:spacing w:after="0" w:line="276" w:lineRule="auto"/>
        <w:jc w:val="both"/>
        <w:rPr>
          <w:rFonts w:ascii="Garamond" w:hAnsi="Garamond" w:cs="Arial"/>
        </w:rPr>
      </w:pPr>
      <w:r w:rsidRPr="00C1447A">
        <w:rPr>
          <w:rFonts w:ascii="Garamond" w:hAnsi="Garamond" w:cs="Arial"/>
        </w:rPr>
        <w:t>L</w:t>
      </w:r>
      <w:r w:rsidR="00953FE1">
        <w:rPr>
          <w:rFonts w:ascii="Garamond" w:hAnsi="Garamond" w:cs="Arial"/>
        </w:rPr>
        <w:t>’esposizione</w:t>
      </w:r>
      <w:r w:rsidRPr="00C1447A">
        <w:rPr>
          <w:rFonts w:ascii="Garamond" w:hAnsi="Garamond" w:cs="Arial"/>
        </w:rPr>
        <w:t xml:space="preserve"> offre</w:t>
      </w:r>
      <w:r w:rsidR="00953FE1">
        <w:rPr>
          <w:rFonts w:ascii="Garamond" w:hAnsi="Garamond" w:cs="Arial"/>
        </w:rPr>
        <w:t>,</w:t>
      </w:r>
      <w:r w:rsidRPr="00C1447A">
        <w:rPr>
          <w:rFonts w:ascii="Garamond" w:hAnsi="Garamond" w:cs="Arial"/>
        </w:rPr>
        <w:t xml:space="preserve"> inoltre</w:t>
      </w:r>
      <w:r w:rsidR="00953FE1">
        <w:rPr>
          <w:rFonts w:ascii="Garamond" w:hAnsi="Garamond" w:cs="Arial"/>
        </w:rPr>
        <w:t>,</w:t>
      </w:r>
      <w:r w:rsidRPr="00C1447A">
        <w:rPr>
          <w:rFonts w:ascii="Garamond" w:hAnsi="Garamond" w:cs="Arial"/>
        </w:rPr>
        <w:t xml:space="preserve"> uno sguardo su alcuni degli elementi più rappresentativi della cultura omanita, tra cui la tradizione dell’ospitalità</w:t>
      </w:r>
      <w:r w:rsidR="00953FE1">
        <w:rPr>
          <w:rFonts w:ascii="Garamond" w:hAnsi="Garamond" w:cs="Arial"/>
        </w:rPr>
        <w:t xml:space="preserve"> -</w:t>
      </w:r>
      <w:r w:rsidRPr="00C1447A">
        <w:rPr>
          <w:rFonts w:ascii="Garamond" w:hAnsi="Garamond" w:cs="Arial"/>
        </w:rPr>
        <w:t xml:space="preserve"> in arabo </w:t>
      </w:r>
      <w:proofErr w:type="spellStart"/>
      <w:r w:rsidRPr="00953FE1">
        <w:rPr>
          <w:rFonts w:ascii="Garamond" w:hAnsi="Garamond" w:cs="Arial"/>
          <w:i/>
          <w:iCs/>
        </w:rPr>
        <w:t>Diyafah</w:t>
      </w:r>
      <w:proofErr w:type="spellEnd"/>
      <w:r w:rsidRPr="00C1447A">
        <w:rPr>
          <w:rFonts w:ascii="Garamond" w:hAnsi="Garamond" w:cs="Arial"/>
        </w:rPr>
        <w:t xml:space="preserve"> </w:t>
      </w:r>
      <w:r w:rsidR="00953FE1">
        <w:rPr>
          <w:rFonts w:ascii="Garamond" w:hAnsi="Garamond" w:cs="Arial"/>
        </w:rPr>
        <w:t>-</w:t>
      </w:r>
      <w:r w:rsidRPr="00C1447A">
        <w:rPr>
          <w:rFonts w:ascii="Garamond" w:hAnsi="Garamond" w:cs="Arial"/>
        </w:rPr>
        <w:t xml:space="preserve">, ancora oggi considerata un tratto distintivo dell’identità nazionale. Gli oggetti legati al rito del caffè e dell’accoglienza testimoniano </w:t>
      </w:r>
      <w:r w:rsidR="00FB5291">
        <w:rPr>
          <w:rFonts w:ascii="Garamond" w:hAnsi="Garamond" w:cs="Arial"/>
        </w:rPr>
        <w:t xml:space="preserve">quanto la </w:t>
      </w:r>
      <w:r w:rsidRPr="00C1447A">
        <w:rPr>
          <w:rFonts w:ascii="Garamond" w:hAnsi="Garamond" w:cs="Arial"/>
        </w:rPr>
        <w:t xml:space="preserve">cultura </w:t>
      </w:r>
      <w:r w:rsidR="00FB5291">
        <w:rPr>
          <w:rFonts w:ascii="Garamond" w:hAnsi="Garamond" w:cs="Arial"/>
        </w:rPr>
        <w:t xml:space="preserve">omanita abbia </w:t>
      </w:r>
      <w:r w:rsidRPr="00C1447A">
        <w:rPr>
          <w:rFonts w:ascii="Garamond" w:hAnsi="Garamond" w:cs="Arial"/>
        </w:rPr>
        <w:t xml:space="preserve">fatto dell’incontro uno dei propri valori più riconoscibili. </w:t>
      </w:r>
    </w:p>
    <w:p w14:paraId="25CBC2D0" w14:textId="77777777" w:rsidR="00F109F7" w:rsidRDefault="00F109F7" w:rsidP="00C1447A">
      <w:pPr>
        <w:spacing w:after="0" w:line="276" w:lineRule="auto"/>
        <w:jc w:val="both"/>
        <w:rPr>
          <w:rFonts w:ascii="Garamond" w:hAnsi="Garamond" w:cs="Arial"/>
        </w:rPr>
      </w:pPr>
    </w:p>
    <w:p w14:paraId="4DC46F9D" w14:textId="36E2BE79" w:rsidR="00F109F7" w:rsidRPr="00F109F7" w:rsidRDefault="00F109F7" w:rsidP="00F109F7">
      <w:pPr>
        <w:spacing w:after="0" w:line="276" w:lineRule="auto"/>
        <w:jc w:val="both"/>
        <w:rPr>
          <w:rFonts w:ascii="Garamond" w:hAnsi="Garamond" w:cs="Arial"/>
        </w:rPr>
      </w:pPr>
      <w:r w:rsidRPr="00F109F7">
        <w:rPr>
          <w:rFonts w:ascii="Garamond" w:hAnsi="Garamond" w:cs="Arial"/>
        </w:rPr>
        <w:t>“Tra la Grande Brera e The National Museum of Oman è iniziato, oramai da due anni, un progetto di profonda collaborazione scientifica e culturale. In questa luce è nata l’idea di realizzare una mostra tesa non solo a celebrare i due millenni di dialogo fra le nostre culture, ma anche a definire il senso di un’eredità viva e protesa al futuro. Nella prospettiva di cooperazione culturale tra i due Paesi, evocata in occasione della visita istituzionale a Muscat dal Presidente del Consiglio Giorgia Meloni e condivisa dal Sultano dell</w:t>
      </w:r>
      <w:r>
        <w:rPr>
          <w:rFonts w:ascii="Garamond" w:hAnsi="Garamond" w:cs="Arial"/>
        </w:rPr>
        <w:t>’</w:t>
      </w:r>
      <w:r w:rsidRPr="00F109F7">
        <w:rPr>
          <w:rFonts w:ascii="Garamond" w:hAnsi="Garamond" w:cs="Arial"/>
        </w:rPr>
        <w:t xml:space="preserve">Oman Haitham bin Tariq Al Said, la mostra </w:t>
      </w:r>
      <w:r w:rsidRPr="00F109F7">
        <w:rPr>
          <w:rFonts w:ascii="Garamond" w:hAnsi="Garamond" w:cs="Arial"/>
          <w:i/>
          <w:iCs/>
        </w:rPr>
        <w:t xml:space="preserve">Oman and </w:t>
      </w:r>
      <w:proofErr w:type="spellStart"/>
      <w:r w:rsidRPr="00F109F7">
        <w:rPr>
          <w:rFonts w:ascii="Garamond" w:hAnsi="Garamond" w:cs="Arial"/>
          <w:i/>
          <w:iCs/>
        </w:rPr>
        <w:t>Italy</w:t>
      </w:r>
      <w:proofErr w:type="spellEnd"/>
      <w:r w:rsidRPr="00F109F7">
        <w:rPr>
          <w:rFonts w:ascii="Garamond" w:hAnsi="Garamond" w:cs="Arial"/>
          <w:i/>
          <w:iCs/>
        </w:rPr>
        <w:t xml:space="preserve">: Two </w:t>
      </w:r>
      <w:proofErr w:type="spellStart"/>
      <w:r w:rsidRPr="00F109F7">
        <w:rPr>
          <w:rFonts w:ascii="Garamond" w:hAnsi="Garamond" w:cs="Arial"/>
          <w:i/>
          <w:iCs/>
        </w:rPr>
        <w:t>Millennia</w:t>
      </w:r>
      <w:proofErr w:type="spellEnd"/>
      <w:r w:rsidRPr="00F109F7">
        <w:rPr>
          <w:rFonts w:ascii="Garamond" w:hAnsi="Garamond" w:cs="Arial"/>
          <w:i/>
          <w:iCs/>
        </w:rPr>
        <w:t xml:space="preserve"> of Cross-</w:t>
      </w:r>
      <w:proofErr w:type="spellStart"/>
      <w:r w:rsidRPr="00F109F7">
        <w:rPr>
          <w:rFonts w:ascii="Garamond" w:hAnsi="Garamond" w:cs="Arial"/>
          <w:i/>
          <w:iCs/>
        </w:rPr>
        <w:t>Civilisational</w:t>
      </w:r>
      <w:proofErr w:type="spellEnd"/>
      <w:r w:rsidRPr="00F109F7">
        <w:rPr>
          <w:rFonts w:ascii="Garamond" w:hAnsi="Garamond" w:cs="Arial"/>
          <w:i/>
          <w:iCs/>
        </w:rPr>
        <w:t xml:space="preserve"> </w:t>
      </w:r>
      <w:proofErr w:type="spellStart"/>
      <w:r w:rsidRPr="00F109F7">
        <w:rPr>
          <w:rFonts w:ascii="Garamond" w:hAnsi="Garamond" w:cs="Arial"/>
          <w:i/>
          <w:iCs/>
        </w:rPr>
        <w:t>Dialogue</w:t>
      </w:r>
      <w:proofErr w:type="spellEnd"/>
      <w:r w:rsidRPr="00F109F7">
        <w:rPr>
          <w:rFonts w:ascii="Garamond" w:hAnsi="Garamond" w:cs="Arial"/>
          <w:i/>
          <w:iCs/>
        </w:rPr>
        <w:t xml:space="preserve"> </w:t>
      </w:r>
      <w:r w:rsidRPr="00F109F7">
        <w:rPr>
          <w:rFonts w:ascii="Garamond" w:hAnsi="Garamond" w:cs="Arial"/>
        </w:rPr>
        <w:t>è la testimonianza della molteplicità dei linguaggi dell’arte che hanno dato valore, anche negli usi e nei costumi, alla rilevanza del legame storico fra Oman e Italia.</w:t>
      </w:r>
    </w:p>
    <w:p w14:paraId="78ECBDA1" w14:textId="33504FE2" w:rsidR="00F109F7" w:rsidRDefault="00F109F7" w:rsidP="00F109F7">
      <w:pPr>
        <w:spacing w:after="0" w:line="276" w:lineRule="auto"/>
        <w:jc w:val="both"/>
        <w:rPr>
          <w:rFonts w:ascii="Garamond" w:hAnsi="Garamond" w:cs="Arial"/>
        </w:rPr>
      </w:pPr>
      <w:r w:rsidRPr="00F109F7">
        <w:rPr>
          <w:rFonts w:ascii="Garamond" w:hAnsi="Garamond" w:cs="Arial"/>
        </w:rPr>
        <w:t>L’iniziativa intende offrire al pubblico un</w:t>
      </w:r>
      <w:r>
        <w:rPr>
          <w:rFonts w:ascii="Garamond" w:hAnsi="Garamond" w:cs="Arial"/>
        </w:rPr>
        <w:t>’</w:t>
      </w:r>
      <w:r w:rsidRPr="00F109F7">
        <w:rPr>
          <w:rFonts w:ascii="Garamond" w:hAnsi="Garamond" w:cs="Arial"/>
        </w:rPr>
        <w:t>occasione di approfondimento della storia, del patrimonio e dell'identità culturale del Sultanato dell'Oman, valorizzandone il ruolo di luogo d’incontro tra civiltà tra la Penisola Arabica, il Mediterraneo e il nostro Paese</w:t>
      </w:r>
      <w:r>
        <w:rPr>
          <w:rFonts w:ascii="Garamond" w:hAnsi="Garamond" w:cs="Arial"/>
        </w:rPr>
        <w:t>”.</w:t>
      </w:r>
    </w:p>
    <w:p w14:paraId="4660E121" w14:textId="77777777" w:rsidR="00F109F7" w:rsidRDefault="00F109F7" w:rsidP="00F109F7">
      <w:pPr>
        <w:spacing w:after="0" w:line="276" w:lineRule="auto"/>
        <w:jc w:val="both"/>
        <w:rPr>
          <w:rFonts w:ascii="Garamond" w:hAnsi="Garamond" w:cs="Arial"/>
          <w:b/>
          <w:bCs/>
        </w:rPr>
      </w:pPr>
      <w:r w:rsidRPr="00F109F7">
        <w:rPr>
          <w:rFonts w:ascii="Garamond" w:hAnsi="Garamond" w:cs="Arial"/>
          <w:b/>
          <w:bCs/>
        </w:rPr>
        <w:t>Angelo Crespi</w:t>
      </w:r>
    </w:p>
    <w:p w14:paraId="4F9CB98A" w14:textId="11B0CACD" w:rsidR="00F109F7" w:rsidRDefault="00F109F7" w:rsidP="00F109F7">
      <w:pPr>
        <w:spacing w:after="0" w:line="276" w:lineRule="auto"/>
        <w:jc w:val="both"/>
        <w:rPr>
          <w:rFonts w:ascii="Garamond" w:hAnsi="Garamond" w:cs="Arial"/>
          <w:b/>
          <w:bCs/>
        </w:rPr>
      </w:pPr>
      <w:r w:rsidRPr="00F109F7">
        <w:rPr>
          <w:rFonts w:ascii="Garamond" w:hAnsi="Garamond" w:cs="Arial"/>
          <w:b/>
          <w:bCs/>
        </w:rPr>
        <w:t>Direttore Generale Pinacoteca di Brera, Palazzo Citterio e Biblioteca Nazionale Braidense</w:t>
      </w:r>
    </w:p>
    <w:p w14:paraId="6A9BBC84" w14:textId="77777777" w:rsidR="00F109F7" w:rsidRDefault="00F109F7" w:rsidP="00F109F7">
      <w:pPr>
        <w:spacing w:after="0" w:line="276" w:lineRule="auto"/>
        <w:jc w:val="both"/>
        <w:rPr>
          <w:rFonts w:ascii="Garamond" w:hAnsi="Garamond" w:cs="Arial"/>
        </w:rPr>
      </w:pPr>
    </w:p>
    <w:p w14:paraId="5F17063F" w14:textId="602F275C" w:rsidR="00F109F7" w:rsidRPr="00F109F7" w:rsidRDefault="00F109F7" w:rsidP="00F109F7">
      <w:pPr>
        <w:spacing w:after="0" w:line="276" w:lineRule="auto"/>
        <w:jc w:val="both"/>
        <w:rPr>
          <w:rFonts w:ascii="Garamond" w:hAnsi="Garamond" w:cs="Arial"/>
        </w:rPr>
      </w:pPr>
      <w:r>
        <w:rPr>
          <w:rFonts w:ascii="Garamond" w:hAnsi="Garamond" w:cs="Arial"/>
        </w:rPr>
        <w:t>“</w:t>
      </w:r>
      <w:r w:rsidRPr="00F109F7">
        <w:rPr>
          <w:rFonts w:ascii="Garamond" w:hAnsi="Garamond" w:cs="Arial"/>
        </w:rPr>
        <w:t xml:space="preserve">È per noi motivo di grande soddisfazione che la mostra omanita intitolata </w:t>
      </w:r>
      <w:r w:rsidRPr="00F109F7">
        <w:rPr>
          <w:rFonts w:ascii="Garamond" w:hAnsi="Garamond" w:cs="Arial"/>
          <w:i/>
          <w:iCs/>
        </w:rPr>
        <w:t>«Oman e Italia: due millenni di dialogo tra civiltà»</w:t>
      </w:r>
      <w:r w:rsidRPr="00F109F7">
        <w:rPr>
          <w:rFonts w:ascii="Garamond" w:hAnsi="Garamond" w:cs="Arial"/>
        </w:rPr>
        <w:t xml:space="preserve"> sia ospitata presso la Pinacoteca di Brera di Milano, nella Repubblica Italiana. L’esposizione presenta una selezione di reperti provenienti dal Museo Nazionale del Sultanato dell’Oman, testimonianze di una relazione solida e di un dialogo culturale che si estende da oltre duemila anni tra Oman e Italia. La mostra pone inoltre in luce la ricchezza delle due civiltà, espressa attraverso l’archeologia, la letteratura di viaggio, la cartografia e le arti.</w:t>
      </w:r>
    </w:p>
    <w:p w14:paraId="11578205" w14:textId="77777777" w:rsidR="00F109F7" w:rsidRPr="00F109F7" w:rsidRDefault="00F109F7" w:rsidP="00F109F7">
      <w:pPr>
        <w:spacing w:after="0" w:line="276" w:lineRule="auto"/>
        <w:jc w:val="both"/>
        <w:rPr>
          <w:rFonts w:ascii="Garamond" w:hAnsi="Garamond" w:cs="Arial"/>
        </w:rPr>
      </w:pPr>
      <w:r w:rsidRPr="00F109F7">
        <w:rPr>
          <w:rFonts w:ascii="Garamond" w:hAnsi="Garamond" w:cs="Arial"/>
        </w:rPr>
        <w:t>Il dialogo tra civiltà che il Sultanato dell’Oman ha favorito attraverso il Mar d’Oman, l’Oceano Indiano e successivamente il Mar Mediterraneo, nonché lungo la Via dell’Incenso, ha costituito una fonte di arricchimento culturale e di patrimonio condiviso per le nazioni omanita e italiana. Tale eredità continua ancora oggi attraverso le solide relazioni che uniscono Oman e Italia in molteplici ambiti. La mostra che presentiamo rappresenta una concreta testimonianza della profondità strategica dei rapporti che legano i due Paesi e i due popoli amici.</w:t>
      </w:r>
    </w:p>
    <w:p w14:paraId="439B1723" w14:textId="2FD37F2B" w:rsidR="00F109F7" w:rsidRDefault="00F109F7" w:rsidP="00F109F7">
      <w:pPr>
        <w:spacing w:after="0" w:line="276" w:lineRule="auto"/>
        <w:jc w:val="both"/>
        <w:rPr>
          <w:rFonts w:ascii="Garamond" w:hAnsi="Garamond" w:cs="Arial"/>
        </w:rPr>
      </w:pPr>
      <w:r w:rsidRPr="00F109F7">
        <w:rPr>
          <w:rFonts w:ascii="Garamond" w:hAnsi="Garamond" w:cs="Arial"/>
        </w:rPr>
        <w:t>Auguriamo il massimo successo a tutti coloro che hanno contribuito alla realizzazione della mostra, esprimendo il nostro apprezzamento per gli sforzi profusi nel rafforzare i legami di cooperazione tra i due Paesi e nel far conoscere alle nuove generazioni questo patrimonio culturale e conoscitivo, frutto della vicinanza, del dialogo e del rispetto reciproco tra i due popoli</w:t>
      </w:r>
      <w:r>
        <w:rPr>
          <w:rFonts w:ascii="Garamond" w:hAnsi="Garamond" w:cs="Arial"/>
        </w:rPr>
        <w:t>”.</w:t>
      </w:r>
    </w:p>
    <w:p w14:paraId="7B850AC4" w14:textId="77777777" w:rsidR="00F109F7" w:rsidRDefault="00F109F7" w:rsidP="00F109F7">
      <w:pPr>
        <w:spacing w:after="0" w:line="276" w:lineRule="auto"/>
        <w:jc w:val="both"/>
        <w:rPr>
          <w:rFonts w:ascii="Garamond" w:hAnsi="Garamond" w:cs="Arial"/>
          <w:b/>
          <w:bCs/>
        </w:rPr>
      </w:pPr>
      <w:r w:rsidRPr="00F109F7">
        <w:rPr>
          <w:rFonts w:ascii="Garamond" w:hAnsi="Garamond" w:cs="Arial"/>
          <w:b/>
          <w:bCs/>
        </w:rPr>
        <w:t xml:space="preserve">Sua Altezza Sayyid Nizar bin Al </w:t>
      </w:r>
      <w:proofErr w:type="spellStart"/>
      <w:r w:rsidRPr="00F109F7">
        <w:rPr>
          <w:rFonts w:ascii="Garamond" w:hAnsi="Garamond" w:cs="Arial"/>
          <w:b/>
          <w:bCs/>
        </w:rPr>
        <w:t>Julanda</w:t>
      </w:r>
      <w:proofErr w:type="spellEnd"/>
      <w:r w:rsidRPr="00F109F7">
        <w:rPr>
          <w:rFonts w:ascii="Garamond" w:hAnsi="Garamond" w:cs="Arial"/>
          <w:b/>
          <w:bCs/>
        </w:rPr>
        <w:t xml:space="preserve"> bin Majid Al Said</w:t>
      </w:r>
    </w:p>
    <w:p w14:paraId="6523B934" w14:textId="543E77C1" w:rsidR="00F109F7" w:rsidRPr="00F109F7" w:rsidRDefault="00F109F7" w:rsidP="00F109F7">
      <w:pPr>
        <w:spacing w:after="0" w:line="276" w:lineRule="auto"/>
        <w:jc w:val="both"/>
        <w:rPr>
          <w:rFonts w:ascii="Garamond" w:hAnsi="Garamond" w:cs="Arial"/>
          <w:b/>
          <w:bCs/>
        </w:rPr>
      </w:pPr>
      <w:r w:rsidRPr="00F109F7">
        <w:rPr>
          <w:rFonts w:ascii="Garamond" w:hAnsi="Garamond" w:cs="Arial"/>
          <w:b/>
          <w:bCs/>
        </w:rPr>
        <w:t>Ambasciatore del Sultanato dell’Oman presso la Repubblica Italiana</w:t>
      </w:r>
    </w:p>
    <w:p w14:paraId="76420BD3" w14:textId="77777777" w:rsidR="00F109F7" w:rsidRDefault="00F109F7" w:rsidP="00F109F7">
      <w:pPr>
        <w:spacing w:after="0" w:line="276" w:lineRule="auto"/>
        <w:jc w:val="both"/>
        <w:rPr>
          <w:rFonts w:ascii="Garamond" w:hAnsi="Garamond" w:cs="Arial"/>
        </w:rPr>
      </w:pPr>
    </w:p>
    <w:p w14:paraId="46D3FBC2" w14:textId="77777777" w:rsidR="00F109F7" w:rsidRPr="00F109F7" w:rsidRDefault="00F109F7" w:rsidP="00F109F7">
      <w:pPr>
        <w:spacing w:after="0" w:line="276" w:lineRule="auto"/>
        <w:jc w:val="both"/>
        <w:rPr>
          <w:rFonts w:ascii="Garamond" w:hAnsi="Garamond" w:cs="Arial"/>
        </w:rPr>
      </w:pPr>
      <w:r w:rsidRPr="00F109F7">
        <w:rPr>
          <w:rFonts w:ascii="Garamond" w:hAnsi="Garamond" w:cs="Arial"/>
        </w:rPr>
        <w:t>Non vi è dubbio che le relazioni tra il Sultanato dell’Oman e l’Italia affondino le proprie radici profondamente nella storia. La vasta proiezione marittima di entrambe queste antiche civiltà ha contribuito a plasmare l’apertura verso il mondo che caratterizza i loro popoli. Fin dall’epoca delle civiltà dell’Arabia meridionale durante l’Età del Ferro, contemporanea al periodo greco-romano dell’età classica, le navi hanno attraversato i mari trasportando persone, merci e idee. Il commercio e il costante scambio di contatti hanno favorito una ricca circolazione di influenze culturali e artistiche, contribuendo alla formazione delle rispettive espressioni di civiltà. Nel corso di due millenni, la trama della nostra storia comune si è progressivamente intrecciata, dando vita a legami molteplici tra Oman e Italia – politici, religiosi, sociali e culturali – culminati, nell’epoca contemporanea, in un solido partenariato strategico tra i due Paesi.</w:t>
      </w:r>
    </w:p>
    <w:p w14:paraId="4D6E2A87" w14:textId="77777777" w:rsidR="00F109F7" w:rsidRPr="00F109F7" w:rsidRDefault="00F109F7" w:rsidP="00F109F7">
      <w:pPr>
        <w:spacing w:after="0" w:line="276" w:lineRule="auto"/>
        <w:jc w:val="both"/>
        <w:rPr>
          <w:rFonts w:ascii="Garamond" w:hAnsi="Garamond" w:cs="Arial"/>
        </w:rPr>
      </w:pPr>
      <w:r w:rsidRPr="00F109F7">
        <w:rPr>
          <w:rFonts w:ascii="Garamond" w:hAnsi="Garamond" w:cs="Arial"/>
        </w:rPr>
        <w:t>È per noi motivo di grande orgoglio presentare questa mostra negli spazi della storica Biblioteca Nazionale Braidense, una delle più prestigiose istituzioni culturali italiane. Essa rappresenta la prima iniziativa museale di questo genere organizzata dal Sultanato dell’Oman nella Repubblica Italiana. Nel corso dei secoli, alcuni tra i più importanti studiosi, viaggiatori e intellettuali italiani hanno contribuito in modo significativo alla conoscenza della storia dell’Oman, del suo patrimonio archeologico e architettonico, delle sue tradizioni e consuetudini, nonché della sua geografia, geologia, biodiversità e organizzazione amministrativa. Alcuni di essi hanno persino lasciato un’impronta significativa nel percorso storico dello stesso Oman.</w:t>
      </w:r>
    </w:p>
    <w:p w14:paraId="166249D9" w14:textId="77777777" w:rsidR="00F109F7" w:rsidRPr="00F109F7" w:rsidRDefault="00F109F7" w:rsidP="00F109F7">
      <w:pPr>
        <w:spacing w:after="0" w:line="276" w:lineRule="auto"/>
        <w:jc w:val="both"/>
        <w:rPr>
          <w:rFonts w:ascii="Garamond" w:hAnsi="Garamond" w:cs="Arial"/>
        </w:rPr>
      </w:pPr>
      <w:r w:rsidRPr="00F109F7">
        <w:rPr>
          <w:rFonts w:ascii="Garamond" w:hAnsi="Garamond" w:cs="Arial"/>
        </w:rPr>
        <w:t xml:space="preserve">La mostra pone al centro l’eredità archeologica condivisa e le testimonianze di incontro e interazione tra i due Paesi documentate nella letteratura di viaggio, nelle opere storiche, nella cartografia e nelle arti figurative. Essa mette inoltre in evidenza i legami culturali che hanno unito le due civiltà attraverso i secoli, come il sistema degli </w:t>
      </w:r>
      <w:proofErr w:type="spellStart"/>
      <w:r w:rsidRPr="00F109F7">
        <w:rPr>
          <w:rFonts w:ascii="Garamond" w:hAnsi="Garamond" w:cs="Arial"/>
          <w:i/>
          <w:iCs/>
        </w:rPr>
        <w:t>aflaj</w:t>
      </w:r>
      <w:proofErr w:type="spellEnd"/>
      <w:r w:rsidRPr="00F109F7">
        <w:rPr>
          <w:rFonts w:ascii="Garamond" w:hAnsi="Garamond" w:cs="Arial"/>
        </w:rPr>
        <w:t xml:space="preserve"> per la gestione delle risorse idriche, noto in Sicilia con il nome arabo di </w:t>
      </w:r>
      <w:proofErr w:type="spellStart"/>
      <w:r w:rsidRPr="00F109F7">
        <w:rPr>
          <w:rFonts w:ascii="Garamond" w:hAnsi="Garamond" w:cs="Arial"/>
          <w:i/>
          <w:iCs/>
        </w:rPr>
        <w:t>qanāt</w:t>
      </w:r>
      <w:proofErr w:type="spellEnd"/>
      <w:r w:rsidRPr="00F109F7">
        <w:rPr>
          <w:rFonts w:ascii="Garamond" w:hAnsi="Garamond" w:cs="Arial"/>
        </w:rPr>
        <w:t>, e l’impiego dell’incenso nelle pratiche e nei rituali religiosi tanto nelle moschee quanto nelle chiese. Anche il continente africano rappresentò uno dei principali scenari storici nei quali le esperienze omanita e italiana si incontrarono durante le rispettive fasi di espansione imperiale.</w:t>
      </w:r>
    </w:p>
    <w:p w14:paraId="53B7C446" w14:textId="77777777" w:rsidR="00F109F7" w:rsidRPr="00F109F7" w:rsidRDefault="00F109F7" w:rsidP="00F109F7">
      <w:pPr>
        <w:spacing w:after="0" w:line="276" w:lineRule="auto"/>
        <w:jc w:val="both"/>
        <w:rPr>
          <w:rFonts w:ascii="Garamond" w:hAnsi="Garamond" w:cs="Arial"/>
        </w:rPr>
      </w:pPr>
      <w:r w:rsidRPr="00F109F7">
        <w:rPr>
          <w:rFonts w:ascii="Garamond" w:hAnsi="Garamond" w:cs="Arial"/>
        </w:rPr>
        <w:t xml:space="preserve">Fin dal nostro primo incontro a Milano, due anni fa, il dottor Angelo Crespi, Direttore Generale della Pinacoteca di Brera e promotore del visionario e ambizioso progetto della “Grande Brera”, ha manifestato una calorosa accoglienza e un sincero sostegno alla costruzione di un’autentica partnership culturale. La sua visione, orientata alla creazione di un sistema culturale integrato per la città di Milano, capace di riunire sotto un’unica cornice istituzioni storiche e artistiche di primaria importanza, trova un significativo punto di incontro con l’iniziativa promossa dal Museo Nazionale dell’Oman per trasformare “Muscat Interna” e “Muscat Esterna” in una destinazione culturale di rilevanza internazionale, caratterizzata da un’identità unitaria e da un’offerta integrata di esperienze culturali e conoscitive. Tale progetto comprende il Museo Nazionale, </w:t>
      </w:r>
      <w:proofErr w:type="spellStart"/>
      <w:r w:rsidRPr="00F109F7">
        <w:rPr>
          <w:rFonts w:ascii="Garamond" w:hAnsi="Garamond" w:cs="Arial"/>
        </w:rPr>
        <w:t>Bayt</w:t>
      </w:r>
      <w:proofErr w:type="spellEnd"/>
      <w:r w:rsidRPr="00F109F7">
        <w:rPr>
          <w:rFonts w:ascii="Garamond" w:hAnsi="Garamond" w:cs="Arial"/>
        </w:rPr>
        <w:t xml:space="preserve"> al-</w:t>
      </w:r>
      <w:proofErr w:type="spellStart"/>
      <w:r w:rsidRPr="00F109F7">
        <w:rPr>
          <w:rFonts w:ascii="Garamond" w:hAnsi="Garamond" w:cs="Arial"/>
        </w:rPr>
        <w:t>Ghuraizah</w:t>
      </w:r>
      <w:proofErr w:type="spellEnd"/>
      <w:r w:rsidRPr="00F109F7">
        <w:rPr>
          <w:rFonts w:ascii="Garamond" w:hAnsi="Garamond" w:cs="Arial"/>
        </w:rPr>
        <w:t xml:space="preserve">, le dimore di Sayyid Nader e </w:t>
      </w:r>
      <w:proofErr w:type="spellStart"/>
      <w:r w:rsidRPr="00F109F7">
        <w:rPr>
          <w:rFonts w:ascii="Garamond" w:hAnsi="Garamond" w:cs="Arial"/>
        </w:rPr>
        <w:t>Sayyida</w:t>
      </w:r>
      <w:proofErr w:type="spellEnd"/>
      <w:r w:rsidRPr="00F109F7">
        <w:rPr>
          <w:rFonts w:ascii="Garamond" w:hAnsi="Garamond" w:cs="Arial"/>
        </w:rPr>
        <w:t xml:space="preserve"> </w:t>
      </w:r>
      <w:proofErr w:type="spellStart"/>
      <w:r w:rsidRPr="00F109F7">
        <w:rPr>
          <w:rFonts w:ascii="Garamond" w:hAnsi="Garamond" w:cs="Arial"/>
        </w:rPr>
        <w:t>Muzna</w:t>
      </w:r>
      <w:proofErr w:type="spellEnd"/>
      <w:r w:rsidRPr="00F109F7">
        <w:rPr>
          <w:rFonts w:ascii="Garamond" w:hAnsi="Garamond" w:cs="Arial"/>
        </w:rPr>
        <w:t xml:space="preserve">, la Scuola Al </w:t>
      </w:r>
      <w:proofErr w:type="spellStart"/>
      <w:r w:rsidRPr="00F109F7">
        <w:rPr>
          <w:rFonts w:ascii="Garamond" w:hAnsi="Garamond" w:cs="Arial"/>
        </w:rPr>
        <w:t>Saidiya</w:t>
      </w:r>
      <w:proofErr w:type="spellEnd"/>
      <w:r w:rsidRPr="00F109F7">
        <w:rPr>
          <w:rFonts w:ascii="Garamond" w:hAnsi="Garamond" w:cs="Arial"/>
        </w:rPr>
        <w:t xml:space="preserve">, il Museo della Scuola Al Zahra (Museo della Donna Omanita), la Oman Post House (Museo delle Poste dell’Oman), le mura storiche di Muscat, nonché gli spazi culturali e ricreativi pubblici di </w:t>
      </w:r>
      <w:proofErr w:type="spellStart"/>
      <w:r w:rsidRPr="00F109F7">
        <w:rPr>
          <w:rFonts w:ascii="Garamond" w:hAnsi="Garamond" w:cs="Arial"/>
        </w:rPr>
        <w:t>Bagh</w:t>
      </w:r>
      <w:proofErr w:type="spellEnd"/>
      <w:r w:rsidRPr="00F109F7">
        <w:rPr>
          <w:rFonts w:ascii="Garamond" w:hAnsi="Garamond" w:cs="Arial"/>
        </w:rPr>
        <w:t xml:space="preserve"> al-</w:t>
      </w:r>
      <w:proofErr w:type="spellStart"/>
      <w:r w:rsidRPr="00F109F7">
        <w:rPr>
          <w:rFonts w:ascii="Garamond" w:hAnsi="Garamond" w:cs="Arial"/>
        </w:rPr>
        <w:t>Madbighah</w:t>
      </w:r>
      <w:proofErr w:type="spellEnd"/>
      <w:r w:rsidRPr="00F109F7">
        <w:rPr>
          <w:rFonts w:ascii="Garamond" w:hAnsi="Garamond" w:cs="Arial"/>
        </w:rPr>
        <w:t xml:space="preserve"> e </w:t>
      </w:r>
      <w:proofErr w:type="spellStart"/>
      <w:r w:rsidRPr="00F109F7">
        <w:rPr>
          <w:rFonts w:ascii="Garamond" w:hAnsi="Garamond" w:cs="Arial"/>
        </w:rPr>
        <w:t>Bagh</w:t>
      </w:r>
      <w:proofErr w:type="spellEnd"/>
      <w:r w:rsidRPr="00F109F7">
        <w:rPr>
          <w:rFonts w:ascii="Garamond" w:hAnsi="Garamond" w:cs="Arial"/>
        </w:rPr>
        <w:t xml:space="preserve"> al-</w:t>
      </w:r>
      <w:proofErr w:type="spellStart"/>
      <w:r w:rsidRPr="00F109F7">
        <w:rPr>
          <w:rFonts w:ascii="Garamond" w:hAnsi="Garamond" w:cs="Arial"/>
        </w:rPr>
        <w:t>Saidiya</w:t>
      </w:r>
      <w:proofErr w:type="spellEnd"/>
      <w:r w:rsidRPr="00F109F7">
        <w:rPr>
          <w:rFonts w:ascii="Garamond" w:hAnsi="Garamond" w:cs="Arial"/>
        </w:rPr>
        <w:t>, insieme ad altri importanti siti culturali.</w:t>
      </w:r>
    </w:p>
    <w:p w14:paraId="4BF1A558" w14:textId="77777777" w:rsidR="00F109F7" w:rsidRPr="00F109F7" w:rsidRDefault="00F109F7" w:rsidP="00F109F7">
      <w:pPr>
        <w:spacing w:after="0" w:line="276" w:lineRule="auto"/>
        <w:jc w:val="both"/>
        <w:rPr>
          <w:rFonts w:ascii="Garamond" w:hAnsi="Garamond" w:cs="Arial"/>
        </w:rPr>
      </w:pPr>
      <w:r w:rsidRPr="00F109F7">
        <w:rPr>
          <w:rFonts w:ascii="Garamond" w:hAnsi="Garamond" w:cs="Arial"/>
        </w:rPr>
        <w:t>Ci auguriamo che questa mostra rappresenti una tappa significativa nel percorso di cooperazione tra il Sultanato dell’Oman e la Repubblica Italiana nei settori della cultura e dei musei e che possa costituire uno stimolo per un ulteriore rafforzamento della collaborazione nei campi del commercio, degli investimenti, dell’industria e del turismo. Invitiamo inoltre i visitatori a scoprire la straordinaria ricchezza storica e culturale del Sultanato dell’Oman, la varietà delle sue tradizioni e la singolare bellezza dei suoi paesaggi naturali.</w:t>
      </w:r>
    </w:p>
    <w:p w14:paraId="15F2F256" w14:textId="24477D95" w:rsidR="00F109F7" w:rsidRPr="00D67EF2" w:rsidRDefault="00F109F7" w:rsidP="00F109F7">
      <w:pPr>
        <w:spacing w:after="0" w:line="276" w:lineRule="auto"/>
        <w:jc w:val="both"/>
        <w:rPr>
          <w:rFonts w:ascii="Garamond" w:hAnsi="Garamond" w:cs="Arial"/>
          <w:b/>
          <w:bCs/>
        </w:rPr>
      </w:pPr>
      <w:r w:rsidRPr="00D67EF2">
        <w:rPr>
          <w:rFonts w:ascii="Garamond" w:hAnsi="Garamond" w:cs="Arial"/>
          <w:b/>
          <w:bCs/>
        </w:rPr>
        <w:t xml:space="preserve">Jamal bin Hassan Al </w:t>
      </w:r>
      <w:proofErr w:type="spellStart"/>
      <w:r w:rsidRPr="00D67EF2">
        <w:rPr>
          <w:rFonts w:ascii="Garamond" w:hAnsi="Garamond" w:cs="Arial"/>
          <w:b/>
          <w:bCs/>
        </w:rPr>
        <w:t>Mousawi</w:t>
      </w:r>
      <w:proofErr w:type="spellEnd"/>
    </w:p>
    <w:p w14:paraId="1060FABC" w14:textId="015E33B9" w:rsidR="00F109F7" w:rsidRPr="00F109F7" w:rsidRDefault="00F109F7" w:rsidP="00F109F7">
      <w:pPr>
        <w:spacing w:after="0" w:line="276" w:lineRule="auto"/>
        <w:jc w:val="both"/>
        <w:rPr>
          <w:rFonts w:ascii="Garamond" w:hAnsi="Garamond" w:cs="Arial"/>
        </w:rPr>
      </w:pPr>
      <w:r w:rsidRPr="00F109F7">
        <w:rPr>
          <w:rFonts w:ascii="Garamond" w:hAnsi="Garamond" w:cs="Arial"/>
          <w:b/>
          <w:bCs/>
        </w:rPr>
        <w:t>Segretario Generale del Museo Nazionale del Sultanato dell’Oman</w:t>
      </w:r>
    </w:p>
    <w:p w14:paraId="666BE523" w14:textId="77777777" w:rsidR="00F109F7" w:rsidRPr="00DB476B" w:rsidRDefault="00F109F7" w:rsidP="00F109F7">
      <w:pPr>
        <w:spacing w:after="0" w:line="276" w:lineRule="auto"/>
        <w:jc w:val="both"/>
        <w:rPr>
          <w:rFonts w:ascii="Garamond" w:hAnsi="Garamond" w:cs="Arial"/>
        </w:rPr>
      </w:pPr>
    </w:p>
    <w:p w14:paraId="1B989EC3" w14:textId="0272BBA4" w:rsidR="00E72C8E" w:rsidRDefault="00E72C8E" w:rsidP="00E72C8E">
      <w:pPr>
        <w:spacing w:after="0" w:line="276" w:lineRule="auto"/>
        <w:jc w:val="both"/>
        <w:rPr>
          <w:rFonts w:ascii="Garamond" w:hAnsi="Garamond" w:cs="Arial"/>
        </w:rPr>
      </w:pPr>
      <w:r w:rsidRPr="00E72C8E">
        <w:rPr>
          <w:rFonts w:ascii="Garamond" w:hAnsi="Garamond" w:cs="Arial"/>
        </w:rPr>
        <w:t xml:space="preserve">Milano, </w:t>
      </w:r>
      <w:r w:rsidR="00F109F7">
        <w:rPr>
          <w:rFonts w:ascii="Garamond" w:hAnsi="Garamond" w:cs="Arial"/>
        </w:rPr>
        <w:t xml:space="preserve">18 </w:t>
      </w:r>
      <w:r w:rsidR="005E34BE">
        <w:rPr>
          <w:rFonts w:ascii="Garamond" w:hAnsi="Garamond" w:cs="Arial"/>
        </w:rPr>
        <w:t>giugno</w:t>
      </w:r>
      <w:r w:rsidRPr="00E72C8E">
        <w:rPr>
          <w:rFonts w:ascii="Garamond" w:hAnsi="Garamond" w:cs="Arial"/>
        </w:rPr>
        <w:t xml:space="preserve"> 202</w:t>
      </w:r>
      <w:r w:rsidR="00F1059D">
        <w:rPr>
          <w:rFonts w:ascii="Garamond" w:hAnsi="Garamond" w:cs="Arial"/>
        </w:rPr>
        <w:t>6</w:t>
      </w:r>
    </w:p>
    <w:p w14:paraId="2FCDCD45" w14:textId="77777777" w:rsidR="00F25310" w:rsidRDefault="00F25310" w:rsidP="00E72C8E">
      <w:pPr>
        <w:spacing w:after="0" w:line="276" w:lineRule="auto"/>
        <w:jc w:val="both"/>
        <w:rPr>
          <w:rFonts w:ascii="Garamond" w:hAnsi="Garamond" w:cs="Arial"/>
        </w:rPr>
      </w:pPr>
    </w:p>
    <w:p w14:paraId="141551E4" w14:textId="77777777" w:rsidR="005E34BE" w:rsidRPr="00C60D2F" w:rsidRDefault="005E34BE" w:rsidP="005E34BE">
      <w:pPr>
        <w:spacing w:after="0" w:line="240" w:lineRule="auto"/>
        <w:jc w:val="both"/>
        <w:rPr>
          <w:rFonts w:ascii="Garamond" w:hAnsi="Garamond" w:cs="Arial"/>
          <w:b/>
          <w:bCs/>
          <w:sz w:val="22"/>
          <w:szCs w:val="22"/>
          <w:lang w:val="en-US"/>
        </w:rPr>
      </w:pPr>
      <w:r w:rsidRPr="00D67EF2">
        <w:rPr>
          <w:rFonts w:ascii="Garamond" w:hAnsi="Garamond" w:cs="Arial"/>
          <w:b/>
          <w:bCs/>
          <w:sz w:val="22"/>
          <w:szCs w:val="22"/>
        </w:rPr>
        <w:t xml:space="preserve">OMAN AND ITALY. </w:t>
      </w:r>
      <w:r w:rsidRPr="00C60D2F">
        <w:rPr>
          <w:rFonts w:ascii="Garamond" w:hAnsi="Garamond" w:cs="Arial"/>
          <w:b/>
          <w:bCs/>
          <w:sz w:val="22"/>
          <w:szCs w:val="22"/>
          <w:lang w:val="en-US"/>
        </w:rPr>
        <w:t>Two Millennia of Cross-</w:t>
      </w:r>
      <w:proofErr w:type="spellStart"/>
      <w:r w:rsidRPr="00C60D2F">
        <w:rPr>
          <w:rFonts w:ascii="Garamond" w:hAnsi="Garamond" w:cs="Arial"/>
          <w:b/>
          <w:bCs/>
          <w:sz w:val="22"/>
          <w:szCs w:val="22"/>
          <w:lang w:val="en-US"/>
        </w:rPr>
        <w:t>Civilisational</w:t>
      </w:r>
      <w:proofErr w:type="spellEnd"/>
      <w:r w:rsidRPr="00C60D2F">
        <w:rPr>
          <w:rFonts w:ascii="Garamond" w:hAnsi="Garamond" w:cs="Arial"/>
          <w:b/>
          <w:bCs/>
          <w:sz w:val="22"/>
          <w:szCs w:val="22"/>
          <w:lang w:val="en-US"/>
        </w:rPr>
        <w:t xml:space="preserve"> Dialogue</w:t>
      </w:r>
    </w:p>
    <w:p w14:paraId="6B9A4F44" w14:textId="5C8A799A" w:rsidR="00F71331" w:rsidRPr="00585D7D" w:rsidRDefault="00F71331" w:rsidP="005E34BE">
      <w:pPr>
        <w:spacing w:after="0" w:line="240" w:lineRule="auto"/>
        <w:jc w:val="both"/>
        <w:rPr>
          <w:rFonts w:ascii="Garamond" w:eastAsia="Verdana" w:hAnsi="Garamond" w:cs="Verdana"/>
          <w:kern w:val="0"/>
          <w:sz w:val="20"/>
          <w:szCs w:val="20"/>
        </w:rPr>
      </w:pPr>
      <w:r w:rsidRPr="00585D7D">
        <w:rPr>
          <w:rFonts w:ascii="Garamond" w:hAnsi="Garamond"/>
          <w:kern w:val="0"/>
          <w:sz w:val="20"/>
          <w:szCs w:val="20"/>
        </w:rPr>
        <w:t xml:space="preserve">Milano, </w:t>
      </w:r>
      <w:r w:rsidR="004A62C1" w:rsidRPr="004A62C1">
        <w:rPr>
          <w:rFonts w:ascii="Garamond" w:hAnsi="Garamond"/>
          <w:kern w:val="0"/>
          <w:sz w:val="20"/>
          <w:szCs w:val="20"/>
        </w:rPr>
        <w:t xml:space="preserve">Pinacoteca di Brera </w:t>
      </w:r>
      <w:r w:rsidR="004A62C1">
        <w:rPr>
          <w:rFonts w:ascii="Garamond" w:hAnsi="Garamond"/>
          <w:kern w:val="0"/>
          <w:sz w:val="20"/>
          <w:szCs w:val="20"/>
        </w:rPr>
        <w:t>|</w:t>
      </w:r>
      <w:r w:rsidR="004A62C1" w:rsidRPr="004A62C1">
        <w:rPr>
          <w:rFonts w:ascii="Garamond" w:hAnsi="Garamond"/>
          <w:kern w:val="0"/>
          <w:sz w:val="20"/>
          <w:szCs w:val="20"/>
        </w:rPr>
        <w:t xml:space="preserve"> Biblioteca Nazionale Braidense </w:t>
      </w:r>
      <w:r w:rsidR="005E34BE">
        <w:rPr>
          <w:rFonts w:ascii="Garamond" w:hAnsi="Garamond"/>
          <w:kern w:val="0"/>
          <w:sz w:val="20"/>
          <w:szCs w:val="20"/>
        </w:rPr>
        <w:t>| Sala Maria Teresa</w:t>
      </w:r>
      <w:r w:rsidR="005E34BE" w:rsidRPr="00585D7D">
        <w:rPr>
          <w:rFonts w:ascii="Garamond" w:hAnsi="Garamond"/>
          <w:kern w:val="0"/>
          <w:sz w:val="20"/>
          <w:szCs w:val="20"/>
        </w:rPr>
        <w:t xml:space="preserve"> </w:t>
      </w:r>
      <w:r w:rsidRPr="00585D7D">
        <w:rPr>
          <w:rFonts w:ascii="Garamond" w:hAnsi="Garamond"/>
          <w:kern w:val="0"/>
          <w:sz w:val="20"/>
          <w:szCs w:val="20"/>
        </w:rPr>
        <w:t>(via Brera 28)</w:t>
      </w:r>
    </w:p>
    <w:p w14:paraId="645AA80F" w14:textId="7F658B7E" w:rsidR="00F25310" w:rsidRDefault="005E34BE" w:rsidP="00F71331">
      <w:pPr>
        <w:spacing w:after="0" w:line="240" w:lineRule="auto"/>
        <w:jc w:val="both"/>
        <w:rPr>
          <w:rFonts w:ascii="Garamond" w:hAnsi="Garamond" w:cs="Arial"/>
          <w:b/>
          <w:bCs/>
          <w:sz w:val="22"/>
          <w:szCs w:val="22"/>
        </w:rPr>
      </w:pPr>
      <w:r>
        <w:rPr>
          <w:rFonts w:ascii="Garamond" w:hAnsi="Garamond" w:cs="Arial"/>
          <w:b/>
          <w:bCs/>
          <w:sz w:val="22"/>
          <w:szCs w:val="22"/>
        </w:rPr>
        <w:t>18 giugno</w:t>
      </w:r>
      <w:r w:rsidR="00F71331" w:rsidRPr="00F71331">
        <w:rPr>
          <w:rFonts w:ascii="Garamond" w:hAnsi="Garamond" w:cs="Arial"/>
          <w:b/>
          <w:bCs/>
          <w:sz w:val="22"/>
          <w:szCs w:val="22"/>
        </w:rPr>
        <w:t xml:space="preserve"> </w:t>
      </w:r>
      <w:r w:rsidR="00917C06">
        <w:rPr>
          <w:rFonts w:ascii="Garamond" w:hAnsi="Garamond" w:cs="Arial"/>
          <w:b/>
          <w:bCs/>
          <w:sz w:val="22"/>
          <w:szCs w:val="22"/>
        </w:rPr>
        <w:t>–</w:t>
      </w:r>
      <w:r w:rsidR="00F71331" w:rsidRPr="00F71331">
        <w:rPr>
          <w:rFonts w:ascii="Garamond" w:hAnsi="Garamond" w:cs="Arial"/>
          <w:b/>
          <w:bCs/>
          <w:sz w:val="22"/>
          <w:szCs w:val="22"/>
        </w:rPr>
        <w:t xml:space="preserve"> </w:t>
      </w:r>
      <w:r w:rsidR="00917C06">
        <w:rPr>
          <w:rFonts w:ascii="Garamond" w:hAnsi="Garamond" w:cs="Arial"/>
          <w:b/>
          <w:bCs/>
          <w:sz w:val="22"/>
          <w:szCs w:val="22"/>
        </w:rPr>
        <w:t>13 settembre</w:t>
      </w:r>
      <w:r w:rsidR="00F71331" w:rsidRPr="00F71331">
        <w:rPr>
          <w:rFonts w:ascii="Garamond" w:hAnsi="Garamond" w:cs="Arial"/>
          <w:b/>
          <w:bCs/>
          <w:sz w:val="22"/>
          <w:szCs w:val="22"/>
        </w:rPr>
        <w:t xml:space="preserve"> 2026</w:t>
      </w:r>
    </w:p>
    <w:p w14:paraId="763FA53C" w14:textId="77777777" w:rsidR="00F71331" w:rsidRPr="00F71331" w:rsidRDefault="00F71331" w:rsidP="00F71331">
      <w:pPr>
        <w:spacing w:after="0" w:line="240" w:lineRule="auto"/>
        <w:jc w:val="both"/>
        <w:rPr>
          <w:rFonts w:ascii="Garamond" w:hAnsi="Garamond" w:cs="Arial"/>
          <w:sz w:val="22"/>
          <w:szCs w:val="22"/>
        </w:rPr>
      </w:pPr>
    </w:p>
    <w:p w14:paraId="002E31E2" w14:textId="1ACD016B" w:rsidR="000E7F0F" w:rsidRDefault="000E7F0F" w:rsidP="000E7F0F">
      <w:pPr>
        <w:spacing w:after="0" w:line="276" w:lineRule="auto"/>
        <w:jc w:val="both"/>
        <w:rPr>
          <w:rFonts w:ascii="Garamond" w:hAnsi="Garamond"/>
          <w:kern w:val="0"/>
          <w:sz w:val="20"/>
          <w:szCs w:val="20"/>
        </w:rPr>
      </w:pPr>
      <w:r w:rsidRPr="003238EF">
        <w:rPr>
          <w:rFonts w:ascii="Garamond" w:hAnsi="Garamond"/>
          <w:b/>
          <w:bCs/>
          <w:kern w:val="0"/>
          <w:sz w:val="20"/>
          <w:szCs w:val="20"/>
        </w:rPr>
        <w:t>Orari</w:t>
      </w:r>
      <w:r w:rsidRPr="003238EF">
        <w:rPr>
          <w:rFonts w:ascii="Garamond" w:hAnsi="Garamond"/>
          <w:kern w:val="0"/>
          <w:sz w:val="20"/>
          <w:szCs w:val="20"/>
        </w:rPr>
        <w:t xml:space="preserve">: </w:t>
      </w:r>
      <w:r w:rsidR="00D67EF2">
        <w:rPr>
          <w:rFonts w:ascii="Garamond" w:hAnsi="Garamond"/>
          <w:kern w:val="0"/>
          <w:sz w:val="20"/>
          <w:szCs w:val="20"/>
        </w:rPr>
        <w:t xml:space="preserve">tutti i giorni, </w:t>
      </w:r>
      <w:r w:rsidRPr="003238EF">
        <w:rPr>
          <w:rFonts w:ascii="Garamond" w:hAnsi="Garamond"/>
          <w:kern w:val="0"/>
          <w:sz w:val="20"/>
          <w:szCs w:val="20"/>
        </w:rPr>
        <w:t>9.30 – 1</w:t>
      </w:r>
      <w:r w:rsidR="00D67EF2">
        <w:rPr>
          <w:rFonts w:ascii="Garamond" w:hAnsi="Garamond"/>
          <w:kern w:val="0"/>
          <w:sz w:val="20"/>
          <w:szCs w:val="20"/>
        </w:rPr>
        <w:t>8.00; ultimo ingresso, ore 17.30.</w:t>
      </w:r>
    </w:p>
    <w:p w14:paraId="5241ACE9" w14:textId="77777777" w:rsidR="000E7F0F" w:rsidRDefault="000E7F0F" w:rsidP="000E7F0F">
      <w:pPr>
        <w:spacing w:after="0" w:line="276" w:lineRule="auto"/>
        <w:jc w:val="both"/>
        <w:rPr>
          <w:rFonts w:ascii="Garamond" w:hAnsi="Garamond"/>
          <w:kern w:val="0"/>
          <w:sz w:val="20"/>
          <w:szCs w:val="20"/>
        </w:rPr>
      </w:pPr>
    </w:p>
    <w:p w14:paraId="79E6B227" w14:textId="68C8CAE7" w:rsidR="000E7F0F" w:rsidRPr="000E7F0F" w:rsidRDefault="000E7F0F" w:rsidP="000E7F0F">
      <w:pPr>
        <w:spacing w:after="0" w:line="276" w:lineRule="auto"/>
        <w:jc w:val="both"/>
        <w:rPr>
          <w:rFonts w:ascii="Garamond" w:eastAsia="Verdana" w:hAnsi="Garamond" w:cs="Verdana"/>
          <w:b/>
          <w:bCs/>
          <w:kern w:val="0"/>
          <w:sz w:val="20"/>
          <w:szCs w:val="20"/>
        </w:rPr>
      </w:pPr>
      <w:r>
        <w:rPr>
          <w:rFonts w:ascii="Garamond" w:hAnsi="Garamond"/>
          <w:b/>
          <w:bCs/>
          <w:kern w:val="0"/>
          <w:sz w:val="20"/>
          <w:szCs w:val="20"/>
        </w:rPr>
        <w:t>Ingresso libero</w:t>
      </w:r>
    </w:p>
    <w:p w14:paraId="073C5C7C" w14:textId="77777777" w:rsidR="000E7F0F" w:rsidRPr="002352F6" w:rsidRDefault="000E7F0F" w:rsidP="000E7F0F">
      <w:pPr>
        <w:spacing w:after="0" w:line="276" w:lineRule="auto"/>
        <w:jc w:val="both"/>
        <w:rPr>
          <w:rFonts w:ascii="Garamond" w:eastAsia="Verdana" w:hAnsi="Garamond" w:cs="Verdana"/>
          <w:kern w:val="0"/>
          <w:sz w:val="20"/>
          <w:szCs w:val="20"/>
          <w:highlight w:val="yellow"/>
        </w:rPr>
      </w:pPr>
    </w:p>
    <w:p w14:paraId="31B4A910" w14:textId="77777777" w:rsidR="000E7F0F" w:rsidRPr="002352F6" w:rsidRDefault="000E7F0F" w:rsidP="000E7F0F">
      <w:pPr>
        <w:spacing w:after="0" w:line="276" w:lineRule="auto"/>
        <w:jc w:val="both"/>
        <w:rPr>
          <w:rFonts w:ascii="Garamond" w:hAnsi="Garamond"/>
          <w:b/>
          <w:bCs/>
          <w:kern w:val="0"/>
          <w:sz w:val="20"/>
          <w:szCs w:val="20"/>
        </w:rPr>
      </w:pPr>
      <w:r w:rsidRPr="002352F6">
        <w:rPr>
          <w:rFonts w:ascii="Garamond" w:hAnsi="Garamond"/>
          <w:b/>
          <w:bCs/>
          <w:kern w:val="0"/>
          <w:sz w:val="20"/>
          <w:szCs w:val="20"/>
        </w:rPr>
        <w:t>Informazioni:</w:t>
      </w:r>
    </w:p>
    <w:p w14:paraId="7AC68C83" w14:textId="77777777" w:rsidR="000E7F0F" w:rsidRPr="002352F6" w:rsidRDefault="000E7F0F" w:rsidP="000E7F0F">
      <w:pPr>
        <w:spacing w:after="0" w:line="276" w:lineRule="auto"/>
        <w:jc w:val="both"/>
        <w:rPr>
          <w:rFonts w:ascii="Garamond" w:hAnsi="Garamond"/>
          <w:kern w:val="0"/>
          <w:sz w:val="20"/>
          <w:szCs w:val="20"/>
        </w:rPr>
      </w:pPr>
      <w:r w:rsidRPr="002352F6">
        <w:rPr>
          <w:rFonts w:ascii="Garamond" w:hAnsi="Garamond"/>
          <w:kern w:val="0"/>
          <w:sz w:val="20"/>
          <w:szCs w:val="20"/>
        </w:rPr>
        <w:t>bibliotecabraidense.org</w:t>
      </w:r>
    </w:p>
    <w:p w14:paraId="3C9A7D10" w14:textId="77777777" w:rsidR="000E7F0F" w:rsidRDefault="000E7F0F" w:rsidP="000E7F0F">
      <w:pPr>
        <w:spacing w:after="0" w:line="276" w:lineRule="auto"/>
        <w:jc w:val="both"/>
        <w:rPr>
          <w:rFonts w:ascii="Garamond" w:eastAsia="Garamond" w:hAnsi="Garamond" w:cs="Garamond"/>
          <w:b/>
          <w:bCs/>
          <w:kern w:val="0"/>
          <w:sz w:val="20"/>
          <w:szCs w:val="20"/>
        </w:rPr>
      </w:pPr>
    </w:p>
    <w:p w14:paraId="0DBC9C97" w14:textId="77777777" w:rsidR="000E7F0F" w:rsidRDefault="000E7F0F" w:rsidP="000E7F0F">
      <w:pPr>
        <w:spacing w:after="0"/>
        <w:jc w:val="both"/>
        <w:rPr>
          <w:rFonts w:ascii="Garamond" w:hAnsi="Garamond"/>
          <w:b/>
          <w:bCs/>
          <w:kern w:val="0"/>
          <w:sz w:val="20"/>
          <w:szCs w:val="20"/>
        </w:rPr>
      </w:pPr>
      <w:r>
        <w:rPr>
          <w:rFonts w:ascii="Garamond" w:hAnsi="Garamond"/>
          <w:b/>
          <w:bCs/>
          <w:kern w:val="0"/>
          <w:sz w:val="20"/>
          <w:szCs w:val="20"/>
        </w:rPr>
        <w:t xml:space="preserve">Responsabile ufficio comunicazione La Grande Brera </w:t>
      </w:r>
    </w:p>
    <w:p w14:paraId="17D0152A" w14:textId="77777777" w:rsidR="000E7F0F" w:rsidRDefault="000E7F0F" w:rsidP="000E7F0F">
      <w:pPr>
        <w:spacing w:after="0"/>
        <w:jc w:val="both"/>
        <w:rPr>
          <w:rFonts w:ascii="Garamond" w:hAnsi="Garamond"/>
          <w:kern w:val="0"/>
          <w:sz w:val="20"/>
          <w:szCs w:val="20"/>
        </w:rPr>
      </w:pPr>
      <w:r>
        <w:rPr>
          <w:rFonts w:ascii="Garamond" w:hAnsi="Garamond"/>
          <w:kern w:val="0"/>
          <w:sz w:val="20"/>
          <w:szCs w:val="20"/>
        </w:rPr>
        <w:t>Marco Toscano | E. marco.toscano@cultura.gov.it</w:t>
      </w:r>
    </w:p>
    <w:p w14:paraId="24C8AA9A" w14:textId="77777777" w:rsidR="000E7F0F" w:rsidRDefault="000E7F0F" w:rsidP="000E7F0F">
      <w:pPr>
        <w:spacing w:after="0"/>
        <w:jc w:val="both"/>
        <w:rPr>
          <w:rFonts w:ascii="Garamond" w:hAnsi="Garamond"/>
          <w:kern w:val="0"/>
          <w:sz w:val="20"/>
          <w:szCs w:val="20"/>
        </w:rPr>
      </w:pPr>
    </w:p>
    <w:p w14:paraId="41458E37" w14:textId="77777777" w:rsidR="000E7F0F" w:rsidRDefault="000E7F0F" w:rsidP="000E7F0F">
      <w:pPr>
        <w:spacing w:after="0"/>
        <w:jc w:val="both"/>
        <w:rPr>
          <w:rFonts w:ascii="Garamond" w:hAnsi="Garamond"/>
          <w:b/>
          <w:bCs/>
          <w:kern w:val="0"/>
          <w:sz w:val="20"/>
          <w:szCs w:val="20"/>
        </w:rPr>
      </w:pPr>
      <w:r>
        <w:rPr>
          <w:rFonts w:ascii="Garamond" w:hAnsi="Garamond"/>
          <w:b/>
          <w:bCs/>
          <w:kern w:val="0"/>
          <w:sz w:val="20"/>
          <w:szCs w:val="20"/>
        </w:rPr>
        <w:t>Ufficio stampa</w:t>
      </w:r>
    </w:p>
    <w:p w14:paraId="246DBDA2" w14:textId="77777777" w:rsidR="000E7F0F" w:rsidRDefault="000E7F0F" w:rsidP="000E7F0F">
      <w:pPr>
        <w:spacing w:after="0"/>
        <w:rPr>
          <w:rFonts w:ascii="Garamond" w:hAnsi="Garamond"/>
          <w:b/>
          <w:bCs/>
          <w:kern w:val="0"/>
          <w:sz w:val="20"/>
          <w:szCs w:val="20"/>
        </w:rPr>
      </w:pPr>
      <w:r>
        <w:rPr>
          <w:rFonts w:ascii="Garamond" w:hAnsi="Garamond"/>
          <w:b/>
          <w:bCs/>
          <w:kern w:val="0"/>
          <w:sz w:val="20"/>
          <w:szCs w:val="20"/>
        </w:rPr>
        <w:t xml:space="preserve">CLP Relazioni Pubbliche </w:t>
      </w:r>
    </w:p>
    <w:p w14:paraId="2110A7AD" w14:textId="77777777" w:rsidR="000E7F0F" w:rsidRDefault="000E7F0F" w:rsidP="000E7F0F">
      <w:pPr>
        <w:spacing w:after="0"/>
        <w:rPr>
          <w:rFonts w:ascii="Garamond" w:hAnsi="Garamond"/>
          <w:kern w:val="0"/>
          <w:sz w:val="20"/>
          <w:szCs w:val="20"/>
        </w:rPr>
      </w:pPr>
      <w:r>
        <w:rPr>
          <w:rFonts w:ascii="Garamond" w:hAnsi="Garamond"/>
          <w:b/>
          <w:bCs/>
          <w:kern w:val="0"/>
          <w:sz w:val="20"/>
          <w:szCs w:val="20"/>
        </w:rPr>
        <w:t>Marta Pedroli</w:t>
      </w:r>
      <w:r>
        <w:rPr>
          <w:rFonts w:ascii="Garamond" w:hAnsi="Garamond"/>
          <w:kern w:val="0"/>
          <w:sz w:val="20"/>
          <w:szCs w:val="20"/>
        </w:rPr>
        <w:t xml:space="preserve"> | M. +39 347 4155017 | E. </w:t>
      </w:r>
      <w:hyperlink r:id="rId11">
        <w:r>
          <w:rPr>
            <w:rStyle w:val="Hyperlink"/>
            <w:rFonts w:ascii="Garamond" w:hAnsi="Garamond"/>
            <w:color w:val="auto"/>
            <w:kern w:val="0"/>
            <w:sz w:val="20"/>
            <w:szCs w:val="20"/>
          </w:rPr>
          <w:t>marta.pedroli@clp1968.it</w:t>
        </w:r>
      </w:hyperlink>
      <w:r>
        <w:rPr>
          <w:rFonts w:ascii="Garamond" w:hAnsi="Garamond"/>
          <w:kern w:val="0"/>
          <w:sz w:val="20"/>
          <w:szCs w:val="20"/>
        </w:rPr>
        <w:t xml:space="preserve"> </w:t>
      </w:r>
    </w:p>
    <w:p w14:paraId="7967069B" w14:textId="23F9018E" w:rsidR="00F71331" w:rsidRPr="00585D7D" w:rsidRDefault="000E7F0F" w:rsidP="0033079A">
      <w:pPr>
        <w:spacing w:after="0"/>
        <w:rPr>
          <w:rStyle w:val="Hyperlink"/>
          <w:rFonts w:ascii="Garamond" w:hAnsi="Garamond"/>
          <w:bCs/>
          <w:kern w:val="0"/>
          <w:sz w:val="20"/>
          <w:szCs w:val="20"/>
          <w:lang w:val="de-DE"/>
        </w:rPr>
      </w:pPr>
      <w:r>
        <w:rPr>
          <w:rFonts w:ascii="Garamond" w:hAnsi="Garamond"/>
          <w:kern w:val="0"/>
          <w:sz w:val="20"/>
          <w:szCs w:val="20"/>
        </w:rPr>
        <w:t>T. + 39 02 36755700 | www.clp1968.it</w:t>
      </w:r>
      <w:r>
        <w:rPr>
          <w:rFonts w:ascii="Garamond" w:hAnsi="Garamond"/>
          <w:b/>
          <w:kern w:val="0"/>
          <w:sz w:val="20"/>
          <w:szCs w:val="20"/>
        </w:rPr>
        <w:t xml:space="preserve"> </w:t>
      </w:r>
    </w:p>
    <w:sectPr w:rsidR="00F71331" w:rsidRPr="00585D7D" w:rsidSect="00F109F7">
      <w:headerReference w:type="default" r:id="rId12"/>
      <w:headerReference w:type="first" r:id="rId13"/>
      <w:footerReference w:type="first" r:id="rId14"/>
      <w:pgSz w:w="11906" w:h="16838"/>
      <w:pgMar w:top="2410" w:right="1134" w:bottom="1276" w:left="396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71804" w14:textId="77777777" w:rsidR="00F90453" w:rsidRDefault="00F90453" w:rsidP="000A67B4">
      <w:pPr>
        <w:spacing w:after="0" w:line="240" w:lineRule="auto"/>
      </w:pPr>
      <w:r>
        <w:separator/>
      </w:r>
    </w:p>
  </w:endnote>
  <w:endnote w:type="continuationSeparator" w:id="0">
    <w:p w14:paraId="2C138355" w14:textId="77777777" w:rsidR="00F90453" w:rsidRDefault="00F90453" w:rsidP="000A67B4">
      <w:pPr>
        <w:spacing w:after="0" w:line="240" w:lineRule="auto"/>
      </w:pPr>
      <w:r>
        <w:continuationSeparator/>
      </w:r>
    </w:p>
  </w:endnote>
  <w:endnote w:type="continuationNotice" w:id="1">
    <w:p w14:paraId="7C094852" w14:textId="77777777" w:rsidR="00F90453" w:rsidRDefault="00F904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ptos Display">
    <w:panose1 w:val="00000000000000000000"/>
    <w:charset w:val="00"/>
    <w:family w:val="roman"/>
    <w:notTrueType/>
    <w:pitch w:val="default"/>
  </w:font>
  <w:font w:name="Garamond">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B5205" w14:textId="4BA3F5B7" w:rsidR="000A67B4" w:rsidRDefault="006C03F0">
    <w:pPr>
      <w:pStyle w:val="Footer"/>
    </w:pPr>
    <w:r>
      <w:rPr>
        <w:noProof/>
      </w:rPr>
      <w:drawing>
        <wp:anchor distT="0" distB="0" distL="114300" distR="114300" simplePos="0" relativeHeight="251658240" behindDoc="1" locked="0" layoutInCell="1" allowOverlap="1" wp14:anchorId="26442650" wp14:editId="6C16466B">
          <wp:simplePos x="0" y="0"/>
          <wp:positionH relativeFrom="page">
            <wp:align>right</wp:align>
          </wp:positionH>
          <wp:positionV relativeFrom="paragraph">
            <wp:posOffset>-60960</wp:posOffset>
          </wp:positionV>
          <wp:extent cx="1789200" cy="903600"/>
          <wp:effectExtent l="0" t="0" r="1905" b="0"/>
          <wp:wrapNone/>
          <wp:docPr id="1132772604" name="Immagine 2" descr="Immagine che contiene testo, Carattere, Elementi grafici,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818382" name="Immagine 2" descr="Immagine che contiene testo, Carattere, Elementi grafici, design&#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789200" cy="9036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1" behindDoc="0" locked="0" layoutInCell="1" allowOverlap="1" wp14:anchorId="3A3ACA93" wp14:editId="65C9CD55">
              <wp:simplePos x="0" y="0"/>
              <wp:positionH relativeFrom="column">
                <wp:posOffset>-1773555</wp:posOffset>
              </wp:positionH>
              <wp:positionV relativeFrom="paragraph">
                <wp:posOffset>-187325</wp:posOffset>
              </wp:positionV>
              <wp:extent cx="1463783" cy="609600"/>
              <wp:effectExtent l="0" t="0" r="0" b="0"/>
              <wp:wrapNone/>
              <wp:docPr id="647570408" name="Casella di testo 3"/>
              <wp:cNvGraphicFramePr/>
              <a:graphic xmlns:a="http://schemas.openxmlformats.org/drawingml/2006/main">
                <a:graphicData uri="http://schemas.microsoft.com/office/word/2010/wordprocessingShape">
                  <wps:wsp>
                    <wps:cNvSpPr txBox="1"/>
                    <wps:spPr>
                      <a:xfrm>
                        <a:off x="0" y="0"/>
                        <a:ext cx="1463783" cy="609600"/>
                      </a:xfrm>
                      <a:prstGeom prst="rect">
                        <a:avLst/>
                      </a:prstGeom>
                      <a:noFill/>
                      <a:ln w="6350">
                        <a:noFill/>
                      </a:ln>
                      <a:effectLst/>
                    </wps:spPr>
                    <wps:txbx>
                      <w:txbxContent>
                        <w:p w14:paraId="4C560F5F" w14:textId="77777777" w:rsidR="000A67B4" w:rsidRPr="000A67B4" w:rsidRDefault="000A67B4" w:rsidP="000A67B4">
                          <w:pPr>
                            <w:spacing w:after="0" w:line="220" w:lineRule="exact"/>
                            <w:rPr>
                              <w:rFonts w:ascii="Arial" w:hAnsi="Arial" w:cs="Arial"/>
                              <w:color w:val="000000" w:themeColor="text1"/>
                              <w:sz w:val="15"/>
                              <w:szCs w:val="15"/>
                            </w:rPr>
                          </w:pPr>
                          <w:r w:rsidRPr="000A67B4">
                            <w:rPr>
                              <w:rFonts w:ascii="Arial" w:hAnsi="Arial" w:cs="Arial"/>
                              <w:color w:val="000000" w:themeColor="text1"/>
                              <w:sz w:val="15"/>
                              <w:szCs w:val="15"/>
                            </w:rPr>
                            <w:t>Via Brera 28  |  20121 Milano</w:t>
                          </w:r>
                        </w:p>
                        <w:p w14:paraId="44393551" w14:textId="77777777" w:rsidR="000A67B4" w:rsidRPr="000A67B4" w:rsidRDefault="000A67B4" w:rsidP="000A67B4">
                          <w:pPr>
                            <w:spacing w:after="0" w:line="220" w:lineRule="exact"/>
                            <w:rPr>
                              <w:rFonts w:ascii="Arial" w:hAnsi="Arial" w:cs="Arial"/>
                              <w:color w:val="000000" w:themeColor="text1"/>
                              <w:sz w:val="15"/>
                              <w:szCs w:val="15"/>
                            </w:rPr>
                          </w:pPr>
                          <w:r w:rsidRPr="000A67B4">
                            <w:rPr>
                              <w:rFonts w:ascii="Arial" w:hAnsi="Arial" w:cs="Arial"/>
                              <w:color w:val="000000" w:themeColor="text1"/>
                              <w:sz w:val="15"/>
                              <w:szCs w:val="15"/>
                            </w:rPr>
                            <w:t xml:space="preserve">+39 02 72105 141 </w:t>
                          </w:r>
                        </w:p>
                        <w:p w14:paraId="0853E385" w14:textId="5D0FFD37" w:rsidR="000A67B4" w:rsidRDefault="000A528A" w:rsidP="000A67B4">
                          <w:pPr>
                            <w:spacing w:after="0" w:line="220" w:lineRule="exact"/>
                            <w:rPr>
                              <w:rStyle w:val="Hyperlink"/>
                              <w:rFonts w:ascii="Arial" w:hAnsi="Arial" w:cs="Arial"/>
                              <w:color w:val="000000" w:themeColor="text1"/>
                              <w:sz w:val="15"/>
                              <w:szCs w:val="15"/>
                              <w:u w:val="none"/>
                            </w:rPr>
                          </w:pPr>
                          <w:hyperlink r:id="rId2" w:history="1">
                            <w:r w:rsidRPr="000A528A">
                              <w:rPr>
                                <w:rStyle w:val="Hyperlink"/>
                                <w:rFonts w:ascii="Arial" w:hAnsi="Arial" w:cs="Arial"/>
                                <w:color w:val="000000" w:themeColor="text1"/>
                                <w:sz w:val="15"/>
                                <w:szCs w:val="15"/>
                                <w:u w:val="none"/>
                              </w:rPr>
                              <w:t>pin-br@cultura.gov.</w:t>
                            </w:r>
                            <w:r w:rsidR="00AC0D89">
                              <w:rPr>
                                <w:rStyle w:val="Hyperlink"/>
                                <w:rFonts w:ascii="Arial" w:hAnsi="Arial" w:cs="Arial"/>
                                <w:color w:val="000000" w:themeColor="text1"/>
                                <w:sz w:val="15"/>
                                <w:szCs w:val="15"/>
                                <w:u w:val="none"/>
                              </w:rPr>
                              <w:t>it</w:t>
                            </w:r>
                          </w:hyperlink>
                        </w:p>
                        <w:p w14:paraId="35656C29" w14:textId="6ECCCDB5" w:rsidR="00AC0D89" w:rsidRPr="00AC0D89" w:rsidRDefault="00AC0D89" w:rsidP="000A67B4">
                          <w:pPr>
                            <w:spacing w:after="0" w:line="220" w:lineRule="exact"/>
                            <w:rPr>
                              <w:rFonts w:ascii="Arial" w:hAnsi="Arial" w:cs="Arial"/>
                              <w:b/>
                              <w:bCs/>
                              <w:color w:val="000000" w:themeColor="text1"/>
                              <w:sz w:val="15"/>
                              <w:szCs w:val="15"/>
                            </w:rPr>
                          </w:pPr>
                          <w:r w:rsidRPr="00AC0D89">
                            <w:rPr>
                              <w:rFonts w:ascii="Arial" w:hAnsi="Arial" w:cs="Arial"/>
                              <w:b/>
                              <w:bCs/>
                              <w:color w:val="000000" w:themeColor="text1"/>
                              <w:sz w:val="15"/>
                              <w:szCs w:val="15"/>
                            </w:rPr>
                            <w:t>grandebrera.org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3ACA93" id="_x0000_t202" coordsize="21600,21600" o:spt="202" path="m,l,21600r21600,l21600,xe">
              <v:stroke joinstyle="miter"/>
              <v:path gradientshapeok="t" o:connecttype="rect"/>
            </v:shapetype>
            <v:shape id="Casella di testo 3" o:spid="_x0000_s1026" type="#_x0000_t202" style="position:absolute;margin-left:-139.65pt;margin-top:-14.75pt;width:115.25pt;height:4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" filled="f" stroked="f" strokeweight=".5pt">
              <v:textbox inset="0,0,0,0">
                <w:txbxContent>
                  <w:p w14:paraId="4C560F5F" w14:textId="77777777" w:rsidR="000A67B4" w:rsidRPr="000A67B4" w:rsidRDefault="000A67B4" w:rsidP="000A67B4">
                    <w:pPr>
                      <w:spacing w:after="0" w:line="220" w:lineRule="exact"/>
                      <w:rPr>
                        <w:rFonts w:ascii="Arial" w:hAnsi="Arial" w:cs="Arial"/>
                        <w:color w:val="000000" w:themeColor="text1"/>
                        <w:sz w:val="15"/>
                        <w:szCs w:val="15"/>
                      </w:rPr>
                    </w:pPr>
                    <w:r w:rsidRPr="000A67B4">
                      <w:rPr>
                        <w:rFonts w:ascii="Arial" w:hAnsi="Arial" w:cs="Arial"/>
                        <w:color w:val="000000" w:themeColor="text1"/>
                        <w:sz w:val="15"/>
                        <w:szCs w:val="15"/>
                      </w:rPr>
                      <w:t>Via Brera 28  |  20121 Milano</w:t>
                    </w:r>
                  </w:p>
                  <w:p w14:paraId="44393551" w14:textId="77777777" w:rsidR="000A67B4" w:rsidRPr="000A67B4" w:rsidRDefault="000A67B4" w:rsidP="000A67B4">
                    <w:pPr>
                      <w:spacing w:after="0" w:line="220" w:lineRule="exact"/>
                      <w:rPr>
                        <w:rFonts w:ascii="Arial" w:hAnsi="Arial" w:cs="Arial"/>
                        <w:color w:val="000000" w:themeColor="text1"/>
                        <w:sz w:val="15"/>
                        <w:szCs w:val="15"/>
                      </w:rPr>
                    </w:pPr>
                    <w:r w:rsidRPr="000A67B4">
                      <w:rPr>
                        <w:rFonts w:ascii="Arial" w:hAnsi="Arial" w:cs="Arial"/>
                        <w:color w:val="000000" w:themeColor="text1"/>
                        <w:sz w:val="15"/>
                        <w:szCs w:val="15"/>
                      </w:rPr>
                      <w:t xml:space="preserve">+39 02 72105 141 </w:t>
                    </w:r>
                  </w:p>
                  <w:p w14:paraId="0853E385" w14:textId="5D0FFD37" w:rsidR="000A67B4" w:rsidRDefault="000A528A" w:rsidP="000A67B4">
                    <w:pPr>
                      <w:spacing w:after="0" w:line="220" w:lineRule="exact"/>
                      <w:rPr>
                        <w:rStyle w:val="Hyperlink"/>
                        <w:rFonts w:ascii="Arial" w:hAnsi="Arial" w:cs="Arial"/>
                        <w:color w:val="000000" w:themeColor="text1"/>
                        <w:sz w:val="15"/>
                        <w:szCs w:val="15"/>
                        <w:u w:val="none"/>
                      </w:rPr>
                    </w:pPr>
                    <w:hyperlink r:id="rId3" w:history="1">
                      <w:r w:rsidRPr="000A528A">
                        <w:rPr>
                          <w:rStyle w:val="Hyperlink"/>
                          <w:rFonts w:ascii="Arial" w:hAnsi="Arial" w:cs="Arial"/>
                          <w:color w:val="000000" w:themeColor="text1"/>
                          <w:sz w:val="15"/>
                          <w:szCs w:val="15"/>
                          <w:u w:val="none"/>
                        </w:rPr>
                        <w:t>pin-br@cultura.gov.</w:t>
                      </w:r>
                      <w:r w:rsidR="00AC0D89">
                        <w:rPr>
                          <w:rStyle w:val="Hyperlink"/>
                          <w:rFonts w:ascii="Arial" w:hAnsi="Arial" w:cs="Arial"/>
                          <w:color w:val="000000" w:themeColor="text1"/>
                          <w:sz w:val="15"/>
                          <w:szCs w:val="15"/>
                          <w:u w:val="none"/>
                        </w:rPr>
                        <w:t>it</w:t>
                      </w:r>
                    </w:hyperlink>
                  </w:p>
                  <w:p w14:paraId="35656C29" w14:textId="6ECCCDB5" w:rsidR="00AC0D89" w:rsidRPr="00AC0D89" w:rsidRDefault="00AC0D89" w:rsidP="000A67B4">
                    <w:pPr>
                      <w:spacing w:after="0" w:line="220" w:lineRule="exact"/>
                      <w:rPr>
                        <w:rFonts w:ascii="Arial" w:hAnsi="Arial" w:cs="Arial"/>
                        <w:b/>
                        <w:bCs/>
                        <w:color w:val="000000" w:themeColor="text1"/>
                        <w:sz w:val="15"/>
                        <w:szCs w:val="15"/>
                      </w:rPr>
                    </w:pPr>
                    <w:r w:rsidRPr="00AC0D89">
                      <w:rPr>
                        <w:rFonts w:ascii="Arial" w:hAnsi="Arial" w:cs="Arial"/>
                        <w:b/>
                        <w:bCs/>
                        <w:color w:val="000000" w:themeColor="text1"/>
                        <w:sz w:val="15"/>
                        <w:szCs w:val="15"/>
                      </w:rPr>
                      <w:t>grandebrera.org</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7EE6E" w14:textId="77777777" w:rsidR="00F90453" w:rsidRDefault="00F90453" w:rsidP="000A67B4">
      <w:pPr>
        <w:spacing w:after="0" w:line="240" w:lineRule="auto"/>
      </w:pPr>
      <w:r>
        <w:separator/>
      </w:r>
    </w:p>
  </w:footnote>
  <w:footnote w:type="continuationSeparator" w:id="0">
    <w:p w14:paraId="56DC8E76" w14:textId="77777777" w:rsidR="00F90453" w:rsidRDefault="00F90453" w:rsidP="000A67B4">
      <w:pPr>
        <w:spacing w:after="0" w:line="240" w:lineRule="auto"/>
      </w:pPr>
      <w:r>
        <w:continuationSeparator/>
      </w:r>
    </w:p>
  </w:footnote>
  <w:footnote w:type="continuationNotice" w:id="1">
    <w:p w14:paraId="7AB271EB" w14:textId="77777777" w:rsidR="00F90453" w:rsidRDefault="00F904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C97B9" w14:textId="643D0CEF" w:rsidR="000A67B4" w:rsidRDefault="00130349">
    <w:pPr>
      <w:pStyle w:val="Header"/>
    </w:pPr>
    <w:r>
      <w:rPr>
        <w:noProof/>
      </w:rPr>
      <w:drawing>
        <wp:anchor distT="0" distB="0" distL="114300" distR="114300" simplePos="0" relativeHeight="251658243" behindDoc="1" locked="0" layoutInCell="1" allowOverlap="1" wp14:anchorId="15262071" wp14:editId="3C3E1EA8">
          <wp:simplePos x="0" y="0"/>
          <wp:positionH relativeFrom="column">
            <wp:posOffset>-2516505</wp:posOffset>
          </wp:positionH>
          <wp:positionV relativeFrom="paragraph">
            <wp:posOffset>-450215</wp:posOffset>
          </wp:positionV>
          <wp:extent cx="2160000" cy="2703600"/>
          <wp:effectExtent l="0" t="0" r="0" b="1905"/>
          <wp:wrapNone/>
          <wp:docPr id="167768673" name="Immagine 3" descr="Immagine che contiene testo, schermata, Carattere,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219988" name="Immagine 3" descr="Immagine che contiene testo, schermata, Carattere, design&#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2160000" cy="2703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6B5BB" w14:textId="4D121725" w:rsidR="000A67B4" w:rsidRDefault="004A62C1" w:rsidP="000A67B4">
    <w:pPr>
      <w:pStyle w:val="Header"/>
    </w:pPr>
    <w:r>
      <w:rPr>
        <w:noProof/>
      </w:rPr>
      <w:drawing>
        <wp:anchor distT="0" distB="0" distL="114300" distR="114300" simplePos="0" relativeHeight="251658244" behindDoc="0" locked="0" layoutInCell="1" allowOverlap="1" wp14:anchorId="4A0EC573" wp14:editId="15D2A04F">
          <wp:simplePos x="0" y="0"/>
          <wp:positionH relativeFrom="margin">
            <wp:align>right</wp:align>
          </wp:positionH>
          <wp:positionV relativeFrom="margin">
            <wp:posOffset>-1028700</wp:posOffset>
          </wp:positionV>
          <wp:extent cx="1440000" cy="688500"/>
          <wp:effectExtent l="0" t="0" r="8255" b="0"/>
          <wp:wrapSquare wrapText="bothSides"/>
          <wp:docPr id="2033049589" name="Immagine 1" descr="Immagine che contiene testo, Carattere, logo,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824368" name="Immagine 1" descr="Immagine che contiene testo, Carattere, logo, Elementi grafici&#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440000" cy="688500"/>
                  </a:xfrm>
                  <a:prstGeom prst="rect">
                    <a:avLst/>
                  </a:prstGeom>
                </pic:spPr>
              </pic:pic>
            </a:graphicData>
          </a:graphic>
        </wp:anchor>
      </w:drawing>
    </w:r>
    <w:r w:rsidR="00130349">
      <w:rPr>
        <w:noProof/>
      </w:rPr>
      <w:drawing>
        <wp:anchor distT="0" distB="0" distL="114300" distR="114300" simplePos="0" relativeHeight="251658242" behindDoc="1" locked="0" layoutInCell="1" allowOverlap="1" wp14:anchorId="6DCE5810" wp14:editId="0EDB4C60">
          <wp:simplePos x="0" y="0"/>
          <wp:positionH relativeFrom="column">
            <wp:posOffset>-2518320</wp:posOffset>
          </wp:positionH>
          <wp:positionV relativeFrom="paragraph">
            <wp:posOffset>-450124</wp:posOffset>
          </wp:positionV>
          <wp:extent cx="2160000" cy="2703600"/>
          <wp:effectExtent l="0" t="0" r="0" b="1905"/>
          <wp:wrapNone/>
          <wp:docPr id="1599444933" name="Immagine 3" descr="Immagine che contiene testo, schermata, Carattere,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219988" name="Immagine 3" descr="Immagine che contiene testo, schermata, Carattere, design&#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2160000" cy="2703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7B4"/>
    <w:rsid w:val="00016CAD"/>
    <w:rsid w:val="000177DA"/>
    <w:rsid w:val="00017ED7"/>
    <w:rsid w:val="00022ED9"/>
    <w:rsid w:val="00030A34"/>
    <w:rsid w:val="00034390"/>
    <w:rsid w:val="0004147D"/>
    <w:rsid w:val="00091A18"/>
    <w:rsid w:val="000A528A"/>
    <w:rsid w:val="000A67B4"/>
    <w:rsid w:val="000A6E52"/>
    <w:rsid w:val="000B19E5"/>
    <w:rsid w:val="000C0A66"/>
    <w:rsid w:val="000D2C36"/>
    <w:rsid w:val="000D4C88"/>
    <w:rsid w:val="000D77F2"/>
    <w:rsid w:val="000D7C7B"/>
    <w:rsid w:val="000E7F0F"/>
    <w:rsid w:val="00103D70"/>
    <w:rsid w:val="001172C7"/>
    <w:rsid w:val="00130349"/>
    <w:rsid w:val="00135A21"/>
    <w:rsid w:val="00175817"/>
    <w:rsid w:val="00175954"/>
    <w:rsid w:val="001A0AF3"/>
    <w:rsid w:val="001A3570"/>
    <w:rsid w:val="001A4DC3"/>
    <w:rsid w:val="001A5489"/>
    <w:rsid w:val="001C20C3"/>
    <w:rsid w:val="001D4679"/>
    <w:rsid w:val="001E00A6"/>
    <w:rsid w:val="002055B2"/>
    <w:rsid w:val="0021687E"/>
    <w:rsid w:val="00222F70"/>
    <w:rsid w:val="002465FB"/>
    <w:rsid w:val="00252D4D"/>
    <w:rsid w:val="002A5959"/>
    <w:rsid w:val="002C112E"/>
    <w:rsid w:val="002E392A"/>
    <w:rsid w:val="002E3A16"/>
    <w:rsid w:val="002F361F"/>
    <w:rsid w:val="003029ED"/>
    <w:rsid w:val="00324F76"/>
    <w:rsid w:val="003265D7"/>
    <w:rsid w:val="0033079A"/>
    <w:rsid w:val="003312DE"/>
    <w:rsid w:val="00333A31"/>
    <w:rsid w:val="00334FDF"/>
    <w:rsid w:val="00337D4A"/>
    <w:rsid w:val="00362570"/>
    <w:rsid w:val="003958A4"/>
    <w:rsid w:val="00426D07"/>
    <w:rsid w:val="00427764"/>
    <w:rsid w:val="004371D5"/>
    <w:rsid w:val="00445BFF"/>
    <w:rsid w:val="00472B24"/>
    <w:rsid w:val="0047671B"/>
    <w:rsid w:val="0048326D"/>
    <w:rsid w:val="004A08A2"/>
    <w:rsid w:val="004A62C1"/>
    <w:rsid w:val="004B0193"/>
    <w:rsid w:val="004E7E48"/>
    <w:rsid w:val="004F51CB"/>
    <w:rsid w:val="004F64D3"/>
    <w:rsid w:val="00504FD1"/>
    <w:rsid w:val="00522D4E"/>
    <w:rsid w:val="005400E0"/>
    <w:rsid w:val="005420EF"/>
    <w:rsid w:val="005444FA"/>
    <w:rsid w:val="00571EAF"/>
    <w:rsid w:val="00587E8C"/>
    <w:rsid w:val="00590320"/>
    <w:rsid w:val="00591941"/>
    <w:rsid w:val="005A5F76"/>
    <w:rsid w:val="005B6864"/>
    <w:rsid w:val="005D6D86"/>
    <w:rsid w:val="005E0419"/>
    <w:rsid w:val="005E34BE"/>
    <w:rsid w:val="005E5AA1"/>
    <w:rsid w:val="005F7C71"/>
    <w:rsid w:val="00600000"/>
    <w:rsid w:val="00600C75"/>
    <w:rsid w:val="0060707E"/>
    <w:rsid w:val="006117A8"/>
    <w:rsid w:val="0061600B"/>
    <w:rsid w:val="00616CA1"/>
    <w:rsid w:val="00625125"/>
    <w:rsid w:val="006255B3"/>
    <w:rsid w:val="006279DC"/>
    <w:rsid w:val="006329BC"/>
    <w:rsid w:val="00636C51"/>
    <w:rsid w:val="006467F3"/>
    <w:rsid w:val="00647235"/>
    <w:rsid w:val="00660BE1"/>
    <w:rsid w:val="006756D1"/>
    <w:rsid w:val="006762ED"/>
    <w:rsid w:val="006A0764"/>
    <w:rsid w:val="006A64F1"/>
    <w:rsid w:val="006B0F41"/>
    <w:rsid w:val="006C03F0"/>
    <w:rsid w:val="006D796F"/>
    <w:rsid w:val="006E5C6A"/>
    <w:rsid w:val="006F35C7"/>
    <w:rsid w:val="006F64DF"/>
    <w:rsid w:val="007376C3"/>
    <w:rsid w:val="00757D3A"/>
    <w:rsid w:val="007A7F28"/>
    <w:rsid w:val="007C193F"/>
    <w:rsid w:val="007C2B60"/>
    <w:rsid w:val="007D5C61"/>
    <w:rsid w:val="007E3027"/>
    <w:rsid w:val="00806DBC"/>
    <w:rsid w:val="008225B7"/>
    <w:rsid w:val="00830305"/>
    <w:rsid w:val="008318B4"/>
    <w:rsid w:val="00833E0F"/>
    <w:rsid w:val="00834EF9"/>
    <w:rsid w:val="008400F8"/>
    <w:rsid w:val="008469FC"/>
    <w:rsid w:val="0088142A"/>
    <w:rsid w:val="00883442"/>
    <w:rsid w:val="0088620C"/>
    <w:rsid w:val="00892750"/>
    <w:rsid w:val="008A70AD"/>
    <w:rsid w:val="008C3CCE"/>
    <w:rsid w:val="0090216B"/>
    <w:rsid w:val="009158BA"/>
    <w:rsid w:val="00917C06"/>
    <w:rsid w:val="00924101"/>
    <w:rsid w:val="0092456D"/>
    <w:rsid w:val="00924FAE"/>
    <w:rsid w:val="009374B8"/>
    <w:rsid w:val="00953FE1"/>
    <w:rsid w:val="00956065"/>
    <w:rsid w:val="00967E7E"/>
    <w:rsid w:val="0097164E"/>
    <w:rsid w:val="00972D54"/>
    <w:rsid w:val="009752AB"/>
    <w:rsid w:val="009C7C47"/>
    <w:rsid w:val="009E0714"/>
    <w:rsid w:val="009E6DBE"/>
    <w:rsid w:val="009F32F3"/>
    <w:rsid w:val="00A046F5"/>
    <w:rsid w:val="00A07862"/>
    <w:rsid w:val="00A1238A"/>
    <w:rsid w:val="00A23496"/>
    <w:rsid w:val="00A56B50"/>
    <w:rsid w:val="00A61481"/>
    <w:rsid w:val="00A64F8F"/>
    <w:rsid w:val="00A86761"/>
    <w:rsid w:val="00A97B3D"/>
    <w:rsid w:val="00AA6A6A"/>
    <w:rsid w:val="00AB22F4"/>
    <w:rsid w:val="00AC0D89"/>
    <w:rsid w:val="00AC1108"/>
    <w:rsid w:val="00AD3257"/>
    <w:rsid w:val="00AE6CC0"/>
    <w:rsid w:val="00AF6FC7"/>
    <w:rsid w:val="00B05FF6"/>
    <w:rsid w:val="00B22A8A"/>
    <w:rsid w:val="00B34B8F"/>
    <w:rsid w:val="00B42561"/>
    <w:rsid w:val="00B65BAE"/>
    <w:rsid w:val="00B8027D"/>
    <w:rsid w:val="00B861A9"/>
    <w:rsid w:val="00B8667B"/>
    <w:rsid w:val="00BA685D"/>
    <w:rsid w:val="00BA7A72"/>
    <w:rsid w:val="00BD7C3A"/>
    <w:rsid w:val="00BF3F61"/>
    <w:rsid w:val="00C1447A"/>
    <w:rsid w:val="00C17075"/>
    <w:rsid w:val="00C60D2F"/>
    <w:rsid w:val="00C61288"/>
    <w:rsid w:val="00C62BAC"/>
    <w:rsid w:val="00C71738"/>
    <w:rsid w:val="00C7262C"/>
    <w:rsid w:val="00C81E7F"/>
    <w:rsid w:val="00C871A0"/>
    <w:rsid w:val="00C94426"/>
    <w:rsid w:val="00CA5CD5"/>
    <w:rsid w:val="00CB3C52"/>
    <w:rsid w:val="00CD18CA"/>
    <w:rsid w:val="00D01923"/>
    <w:rsid w:val="00D14C1A"/>
    <w:rsid w:val="00D67EF2"/>
    <w:rsid w:val="00D70C73"/>
    <w:rsid w:val="00D839D6"/>
    <w:rsid w:val="00DA3C5D"/>
    <w:rsid w:val="00DB476B"/>
    <w:rsid w:val="00DD1F72"/>
    <w:rsid w:val="00DE751A"/>
    <w:rsid w:val="00DF1BCF"/>
    <w:rsid w:val="00DF3463"/>
    <w:rsid w:val="00DF4CFF"/>
    <w:rsid w:val="00E2468E"/>
    <w:rsid w:val="00E614DA"/>
    <w:rsid w:val="00E72C8E"/>
    <w:rsid w:val="00EB56FF"/>
    <w:rsid w:val="00EF7A64"/>
    <w:rsid w:val="00F00D4B"/>
    <w:rsid w:val="00F0727F"/>
    <w:rsid w:val="00F1059D"/>
    <w:rsid w:val="00F109F7"/>
    <w:rsid w:val="00F25310"/>
    <w:rsid w:val="00F3002D"/>
    <w:rsid w:val="00F30CBF"/>
    <w:rsid w:val="00F310C6"/>
    <w:rsid w:val="00F31F19"/>
    <w:rsid w:val="00F71331"/>
    <w:rsid w:val="00F80A21"/>
    <w:rsid w:val="00F90453"/>
    <w:rsid w:val="00FA403B"/>
    <w:rsid w:val="00FB5291"/>
    <w:rsid w:val="00FE194D"/>
    <w:rsid w:val="00FF7C9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D7659"/>
  <w15:chartTrackingRefBased/>
  <w15:docId w15:val="{4F96B03D-B87D-4256-A73D-A8FA3DB2B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A67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A67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A67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67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67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67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67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67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67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7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A67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A67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67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67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67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67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67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67B4"/>
    <w:rPr>
      <w:rFonts w:eastAsiaTheme="majorEastAsia" w:cstheme="majorBidi"/>
      <w:color w:val="272727" w:themeColor="text1" w:themeTint="D8"/>
    </w:rPr>
  </w:style>
  <w:style w:type="paragraph" w:styleId="Title">
    <w:name w:val="Title"/>
    <w:basedOn w:val="Normal"/>
    <w:next w:val="Normal"/>
    <w:link w:val="TitleChar"/>
    <w:uiPriority w:val="10"/>
    <w:qFormat/>
    <w:rsid w:val="000A67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67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67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67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67B4"/>
    <w:pPr>
      <w:spacing w:before="160"/>
      <w:jc w:val="center"/>
    </w:pPr>
    <w:rPr>
      <w:i/>
      <w:iCs/>
      <w:color w:val="404040" w:themeColor="text1" w:themeTint="BF"/>
    </w:rPr>
  </w:style>
  <w:style w:type="character" w:customStyle="1" w:styleId="QuoteChar">
    <w:name w:val="Quote Char"/>
    <w:basedOn w:val="DefaultParagraphFont"/>
    <w:link w:val="Quote"/>
    <w:uiPriority w:val="29"/>
    <w:rsid w:val="000A67B4"/>
    <w:rPr>
      <w:i/>
      <w:iCs/>
      <w:color w:val="404040" w:themeColor="text1" w:themeTint="BF"/>
    </w:rPr>
  </w:style>
  <w:style w:type="paragraph" w:styleId="ListParagraph">
    <w:name w:val="List Paragraph"/>
    <w:basedOn w:val="Normal"/>
    <w:uiPriority w:val="34"/>
    <w:qFormat/>
    <w:rsid w:val="000A67B4"/>
    <w:pPr>
      <w:ind w:left="720"/>
      <w:contextualSpacing/>
    </w:pPr>
  </w:style>
  <w:style w:type="character" w:styleId="IntenseEmphasis">
    <w:name w:val="Intense Emphasis"/>
    <w:basedOn w:val="DefaultParagraphFont"/>
    <w:uiPriority w:val="21"/>
    <w:qFormat/>
    <w:rsid w:val="000A67B4"/>
    <w:rPr>
      <w:i/>
      <w:iCs/>
      <w:color w:val="0F4761" w:themeColor="accent1" w:themeShade="BF"/>
    </w:rPr>
  </w:style>
  <w:style w:type="paragraph" w:styleId="IntenseQuote">
    <w:name w:val="Intense Quote"/>
    <w:basedOn w:val="Normal"/>
    <w:next w:val="Normal"/>
    <w:link w:val="IntenseQuoteChar"/>
    <w:uiPriority w:val="30"/>
    <w:qFormat/>
    <w:rsid w:val="000A67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67B4"/>
    <w:rPr>
      <w:i/>
      <w:iCs/>
      <w:color w:val="0F4761" w:themeColor="accent1" w:themeShade="BF"/>
    </w:rPr>
  </w:style>
  <w:style w:type="character" w:styleId="IntenseReference">
    <w:name w:val="Intense Reference"/>
    <w:basedOn w:val="DefaultParagraphFont"/>
    <w:uiPriority w:val="32"/>
    <w:qFormat/>
    <w:rsid w:val="000A67B4"/>
    <w:rPr>
      <w:b/>
      <w:bCs/>
      <w:smallCaps/>
      <w:color w:val="0F4761" w:themeColor="accent1" w:themeShade="BF"/>
      <w:spacing w:val="5"/>
    </w:rPr>
  </w:style>
  <w:style w:type="paragraph" w:styleId="Header">
    <w:name w:val="header"/>
    <w:basedOn w:val="Normal"/>
    <w:link w:val="HeaderChar"/>
    <w:uiPriority w:val="99"/>
    <w:unhideWhenUsed/>
    <w:rsid w:val="000A67B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A67B4"/>
  </w:style>
  <w:style w:type="paragraph" w:styleId="Footer">
    <w:name w:val="footer"/>
    <w:basedOn w:val="Normal"/>
    <w:link w:val="FooterChar"/>
    <w:uiPriority w:val="99"/>
    <w:unhideWhenUsed/>
    <w:rsid w:val="000A67B4"/>
    <w:pPr>
      <w:tabs>
        <w:tab w:val="center" w:pos="4819"/>
        <w:tab w:val="right" w:pos="9638"/>
      </w:tabs>
      <w:spacing w:after="0" w:line="240" w:lineRule="auto"/>
    </w:pPr>
  </w:style>
  <w:style w:type="character" w:customStyle="1" w:styleId="FooterChar">
    <w:name w:val="Footer Char"/>
    <w:basedOn w:val="DefaultParagraphFont"/>
    <w:link w:val="Footer"/>
    <w:uiPriority w:val="99"/>
    <w:rsid w:val="000A67B4"/>
  </w:style>
  <w:style w:type="character" w:styleId="Hyperlink">
    <w:name w:val="Hyperlink"/>
    <w:basedOn w:val="DefaultParagraphFont"/>
    <w:uiPriority w:val="99"/>
    <w:unhideWhenUsed/>
    <w:rsid w:val="000A67B4"/>
    <w:rPr>
      <w:color w:val="467886" w:themeColor="hyperlink"/>
      <w:u w:val="single"/>
    </w:rPr>
  </w:style>
  <w:style w:type="character" w:styleId="UnresolvedMention">
    <w:name w:val="Unresolved Mention"/>
    <w:basedOn w:val="DefaultParagraphFont"/>
    <w:uiPriority w:val="99"/>
    <w:semiHidden/>
    <w:unhideWhenUsed/>
    <w:rsid w:val="000A67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076497">
      <w:bodyDiv w:val="1"/>
      <w:marLeft w:val="0"/>
      <w:marRight w:val="0"/>
      <w:marTop w:val="0"/>
      <w:marBottom w:val="0"/>
      <w:divBdr>
        <w:top w:val="none" w:sz="0" w:space="0" w:color="auto"/>
        <w:left w:val="none" w:sz="0" w:space="0" w:color="auto"/>
        <w:bottom w:val="none" w:sz="0" w:space="0" w:color="auto"/>
        <w:right w:val="none" w:sz="0" w:space="0" w:color="auto"/>
      </w:divBdr>
    </w:div>
    <w:div w:id="112781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ta.pedroli@clp1968.i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pin-br@cultura.gov.org" TargetMode="External"/><Relationship Id="rId2" Type="http://schemas.openxmlformats.org/officeDocument/2006/relationships/hyperlink" Target="mailto:pin-br@cultura.gov.org" TargetMode="External"/><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jp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EE2951FC9A8954D98E2686339B094D3" ma:contentTypeVersion="19" ma:contentTypeDescription="Creare un nuovo documento." ma:contentTypeScope="" ma:versionID="a168cc9d4885a53b9407c9acfad6a087">
  <xsd:schema xmlns:xsd="http://www.w3.org/2001/XMLSchema" xmlns:xs="http://www.w3.org/2001/XMLSchema" xmlns:p="http://schemas.microsoft.com/office/2006/metadata/properties" xmlns:ns2="e51cac17-9d3b-42cf-aa66-1c7ce94de299" xmlns:ns3="e6ae1104-2084-46c2-94e8-fb18143a54c8" targetNamespace="http://schemas.microsoft.com/office/2006/metadata/properties" ma:root="true" ma:fieldsID="b5062027e0189409ff0969cf40af59bb" ns2:_="" ns3:_="">
    <xsd:import namespace="e51cac17-9d3b-42cf-aa66-1c7ce94de299"/>
    <xsd:import namespace="e6ae1104-2084-46c2-94e8-fb18143a54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ac17-9d3b-42cf-aa66-1c7ce94de2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32750ef2-dc1e-42bb-9b8b-20a1a6cd70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6ae1104-2084-46c2-94e8-fb18143a54c8"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990734e1-f8e3-4e3c-8931-9fe2cbf06ccc}" ma:internalName="TaxCatchAll" ma:showField="CatchAllData" ma:web="e6ae1104-2084-46c2-94e8-fb18143a54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6ae1104-2084-46c2-94e8-fb18143a54c8" xsi:nil="true"/>
    <lcf76f155ced4ddcb4097134ff3c332f xmlns="e51cac17-9d3b-42cf-aa66-1c7ce94de29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7F51C-7ED1-4984-A45B-D0D148634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cac17-9d3b-42cf-aa66-1c7ce94de299"/>
    <ds:schemaRef ds:uri="e6ae1104-2084-46c2-94e8-fb18143a54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F04F20-988F-4FEF-B07C-1BC5BC84DD8D}">
  <ds:schemaRefs>
    <ds:schemaRef ds:uri="http://schemas.microsoft.com/office/2006/metadata/properties"/>
    <ds:schemaRef ds:uri="http://schemas.microsoft.com/office/infopath/2007/PartnerControls"/>
    <ds:schemaRef ds:uri="e6ae1104-2084-46c2-94e8-fb18143a54c8"/>
    <ds:schemaRef ds:uri="e51cac17-9d3b-42cf-aa66-1c7ce94de299"/>
  </ds:schemaRefs>
</ds:datastoreItem>
</file>

<file path=customXml/itemProps3.xml><?xml version="1.0" encoding="utf-8"?>
<ds:datastoreItem xmlns:ds="http://schemas.openxmlformats.org/officeDocument/2006/customXml" ds:itemID="{5AB02D57-AE2A-4A7A-AE34-FE063D8F1FEB}">
  <ds:schemaRefs>
    <ds:schemaRef ds:uri="http://schemas.microsoft.com/sharepoint/v3/contenttype/forms"/>
  </ds:schemaRefs>
</ds:datastoreItem>
</file>

<file path=customXml/itemProps4.xml><?xml version="1.0" encoding="utf-8"?>
<ds:datastoreItem xmlns:ds="http://schemas.openxmlformats.org/officeDocument/2006/customXml" ds:itemID="{959550E4-5A43-4F5D-9AE4-2E0BA52F4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1664</Words>
  <Characters>9489</Characters>
  <Application>Microsoft Office Word</Application>
  <DocSecurity>4</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11131</CharactersWithSpaces>
  <SharedDoc>false</SharedDoc>
  <HLinks>
    <vt:vector size="12" baseType="variant">
      <vt:variant>
        <vt:i4>7667727</vt:i4>
      </vt:variant>
      <vt:variant>
        <vt:i4>0</vt:i4>
      </vt:variant>
      <vt:variant>
        <vt:i4>0</vt:i4>
      </vt:variant>
      <vt:variant>
        <vt:i4>5</vt:i4>
      </vt:variant>
      <vt:variant>
        <vt:lpwstr>mailto:marta.pedroli@clp1968.it</vt:lpwstr>
      </vt:variant>
      <vt:variant>
        <vt:lpwstr/>
      </vt:variant>
      <vt:variant>
        <vt:i4>3145753</vt:i4>
      </vt:variant>
      <vt:variant>
        <vt:i4>0</vt:i4>
      </vt:variant>
      <vt:variant>
        <vt:i4>0</vt:i4>
      </vt:variant>
      <vt:variant>
        <vt:i4>5</vt:i4>
      </vt:variant>
      <vt:variant>
        <vt:lpwstr>mailto:pin-br@cultura.gov.org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Daniele Guerretta</dc:creator>
  <cp:keywords/>
  <dc:description/>
  <cp:lastModifiedBy>Carlo Ghielmetti</cp:lastModifiedBy>
  <cp:revision>21</cp:revision>
  <cp:lastPrinted>2026-06-17T21:37:00Z</cp:lastPrinted>
  <dcterms:created xsi:type="dcterms:W3CDTF">2026-06-04T18:20:00Z</dcterms:created>
  <dcterms:modified xsi:type="dcterms:W3CDTF">2026-06-17T12:40:00Z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0x010100CEE2951FC9A8954D98E2686339B094D3</vt:lpwstr>
  </property>
  <property fmtid="{D5CDD505-2E9C-101B-9397-08002B2CF9AE}" pid="3" name="MediaServiceImageTags">
    <vt:lpwstr/>
  </property>
</Properties>
</file>